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bookmarkStart w:id="0" w:name="Xf6a9fe21bdeb29a22c0bfd3a2548ff5f09a7e49"/>
      <w:r>
        <w:rPr/>
        <w:t>Module 4: Procurement and vendor accountability</w:t>
      </w:r>
    </w:p>
    <w:p>
      <w:pPr>
        <w:pStyle w:val="Normal"/>
        <w:rPr/>
      </w:pPr>
      <w:r>
        <w:rPr/>
        <w:t>The moment of signature is the only moment when your institution has more power than its AI vendor. This module tells you what to demand in the tender, what to verify in the vendor interview, and what to lock into the contract before that moment passes.</w:t>
      </w:r>
    </w:p>
    <w:p>
      <w:pPr>
        <w:pStyle w:val="Normal"/>
        <w:rPr/>
      </w:pPr>
      <w:r>
        <w:rPr/>
        <w:t>Read sections 4.1 to 4.7 once, in order, before your next AI purchase. Then work from the two artifacts at the end: the vendor due diligence checklist (Artifact 4a) and the contract clause library (Artifact 4b). If a purchase is already in progress, start with the red flags in section 4.5 and the checklist.</w:t>
      </w:r>
    </w:p>
    <w:p>
      <w:pPr>
        <w:pStyle w:val="Normal"/>
        <w:rPr/>
      </w:pPr>
      <w:r>
        <w:rPr>
          <w:b/>
          <w:bCs/>
        </w:rPr>
        <w:t>This module is an operating manual and it is not legal advice.</w:t>
      </w:r>
      <w:r>
        <w:rPr/>
        <w:t xml:space="preserve"> Contract law is national law. Before your institution signs anything based on this module, the final contract text must be reviewed by a lawyer qualified in your jurisdiction. Section 4.3 tells you where that review matters most.</w:t>
      </w:r>
    </w:p>
    <w:p>
      <w:pPr>
        <w:pStyle w:val="Heading2"/>
        <w:rPr/>
      </w:pPr>
      <w:bookmarkStart w:id="1" w:name="why-procurement-is-the-control-point"/>
      <w:r>
        <w:rPr/>
        <w:t>4.1 Why procurement is the control point</w:t>
      </w:r>
    </w:p>
    <w:p>
      <w:pPr>
        <w:pStyle w:val="Normal"/>
        <w:rPr/>
      </w:pPr>
      <w:r>
        <w:rPr/>
        <w:t>In 2021, researchers at a large university hospital in the United States published an independent test of a sepsis prediction tool. Sepsis is a life-threatening reaction to infection, and catching it early saves lives. The tool came built into the hospital’s electronic health record software and was already in use at hundreds of hospitals. The developer’s reported accuracy, as recorded in the study and in the JAMA Internal Medicine editorial that accompanied it, was an area under the curve of 0.76 to 0.83 (area under the curve, or AUC, is a standard accuracy score where 1.0 is perfect and 0.5 is a coin flip).</w:t>
      </w:r>
    </w:p>
    <w:p>
      <w:pPr>
        <w:pStyle w:val="Normal"/>
        <w:rPr/>
      </w:pPr>
      <w:r>
        <w:rPr/>
        <w:t>The researchers ran the tool against 38,455 admissions at their own hospital. On their patients, the measured AUC was 0.63. The tool failed to flag 67 percent of the patients who developed sepsis. At the same time it raised alerts on 18 percent of all admitted patients, so many that clinicians could not treat the alerts as meaningful. The study is Wong and colleagues, “External Validation of a Widely Implemented Proprietary Sepsis Prediction Model in Hospitalized Patients,” JAMA Internal Medicine, 2021 (full citation in the references at the end of this module).</w:t>
      </w:r>
    </w:p>
    <w:p>
      <w:pPr>
        <w:pStyle w:val="Normal"/>
        <w:rPr/>
      </w:pPr>
      <w:r>
        <w:rPr/>
        <w:t>The tool was already purchased, installed, and running in hundreds of institutions. The gap between the claimed performance and the measured performance was discoverable before any of those purchases. It required a question in the tender (“on what population were these accuracy figures measured?”) and a test on the buyer’s own records before go-live. Neither requires a data science team.</w:t>
      </w:r>
    </w:p>
    <w:p>
      <w:pPr>
        <w:pStyle w:val="Normal"/>
        <w:rPr/>
      </w:pPr>
      <w:r>
        <w:rPr/>
        <w:t>This module exists because of an asymmetry. The vendor has built, sold, and supported this system many times. You are buying it once. The vendor knows its failure modes, its real performance, and the weaknesses in its own standard contract. On the day you sign, you know what the sales material told you. There is one force that closes this gap: before signature, the vendor wants something from you. Every protection in this module costs one paragraph in a tender or one clause in a contract while the vendor is still selling. After signature, the same protection costs a negotiation, and often a fee, and sometimes it cannot be had at any price.</w:t>
      </w:r>
    </w:p>
    <w:p>
      <w:pPr>
        <w:pStyle w:val="Normal"/>
        <w:rPr/>
      </w:pPr>
      <w:r>
        <w:rPr/>
        <w:t>A few terms, used throughout this module:</w:t>
      </w:r>
    </w:p>
    <w:p>
      <w:pPr>
        <w:pStyle w:val="ListParagraph"/>
        <w:numPr>
          <w:ilvl w:val="0"/>
          <w:numId w:val="1"/>
        </w:numPr>
        <w:rPr/>
      </w:pPr>
      <w:r>
        <w:rPr>
          <w:b/>
          <w:bCs/>
        </w:rPr>
        <w:t>Procurement</w:t>
      </w:r>
      <w:r>
        <w:rPr/>
        <w:t xml:space="preserve"> is the whole process of buying: defining what you need, inviting offers, evaluating them, negotiating, and signing.</w:t>
      </w:r>
    </w:p>
    <w:p>
      <w:pPr>
        <w:pStyle w:val="ListParagraph"/>
        <w:numPr>
          <w:ilvl w:val="0"/>
          <w:numId w:val="1"/>
        </w:numPr>
        <w:rPr/>
      </w:pPr>
      <w:r>
        <w:rPr>
          <w:b/>
          <w:bCs/>
        </w:rPr>
        <w:t>A tender</w:t>
      </w:r>
      <w:r>
        <w:rPr/>
        <w:t xml:space="preserve"> (in some countries: a request for proposals, or RFP) is the written document you send to vendors describing what you require. Everything you demand in the tender, vendors must respond to in writing, and their written responses can be made part of the contract.</w:t>
      </w:r>
    </w:p>
    <w:p>
      <w:pPr>
        <w:pStyle w:val="ListParagraph"/>
        <w:numPr>
          <w:ilvl w:val="0"/>
          <w:numId w:val="1"/>
        </w:numPr>
        <w:rPr/>
      </w:pPr>
      <w:r>
        <w:rPr>
          <w:b/>
          <w:bCs/>
        </w:rPr>
        <w:t>A vendor</w:t>
      </w:r>
      <w:r>
        <w:rPr/>
        <w:t xml:space="preserve"> is the company selling you the system. Where the seller is a reseller or integrator rather than the developer, the demands in this module apply to whoever can answer them, and a reseller who cannot pass your questions through to the developer is itself a finding.</w:t>
      </w:r>
    </w:p>
    <w:p>
      <w:pPr>
        <w:pStyle w:val="ListParagraph"/>
        <w:numPr>
          <w:ilvl w:val="0"/>
          <w:numId w:val="1"/>
        </w:numPr>
        <w:rPr/>
      </w:pPr>
      <w:r>
        <w:rPr>
          <w:b/>
          <w:bCs/>
        </w:rPr>
        <w:t>Due diligence</w:t>
      </w:r>
      <w:r>
        <w:rPr/>
        <w:t xml:space="preserve"> is the structured checking you do before committing.</w:t>
      </w:r>
    </w:p>
    <w:p>
      <w:pPr>
        <w:pStyle w:val="Normal"/>
        <w:rPr/>
      </w:pPr>
      <w:r>
        <w:rPr/>
        <w:t>The order of work in a purchase:</w:t>
      </w:r>
    </w:p>
    <w:p>
      <w:pPr>
        <w:pStyle w:val="ListParagraph"/>
        <w:numPr>
          <w:ilvl w:val="0"/>
          <w:numId w:val="8"/>
        </w:numPr>
        <w:rPr/>
      </w:pPr>
      <w:r>
        <w:rPr>
          <w:b/>
          <w:bCs/>
        </w:rPr>
        <w:t>Write the demands into the tender.</w:t>
      </w:r>
      <w:r>
        <w:rPr/>
        <w:t xml:space="preserve"> Section 4.2 lists them. Vendors respond in writing.</w:t>
      </w:r>
    </w:p>
    <w:p>
      <w:pPr>
        <w:pStyle w:val="ListParagraph"/>
        <w:numPr>
          <w:ilvl w:val="0"/>
          <w:numId w:val="2"/>
        </w:numPr>
        <w:rPr/>
      </w:pPr>
      <w:r>
        <w:rPr>
          <w:b/>
          <w:bCs/>
        </w:rPr>
        <w:t>Score the responses.</w:t>
      </w:r>
      <w:r>
        <w:rPr/>
        <w:t xml:space="preserve"> Artifact 4a is the scoring checklist. It has pass thresholds by risk tier (risk tiers are set in Module 2).</w:t>
      </w:r>
    </w:p>
    <w:p>
      <w:pPr>
        <w:pStyle w:val="ListParagraph"/>
        <w:numPr>
          <w:ilvl w:val="0"/>
          <w:numId w:val="2"/>
        </w:numPr>
        <w:rPr/>
      </w:pPr>
      <w:r>
        <w:rPr>
          <w:b/>
          <w:bCs/>
        </w:rPr>
        <w:t>Interview the shortlisted vendors.</w:t>
      </w:r>
      <w:r>
        <w:rPr/>
        <w:t xml:space="preserve"> Section 4.4 is the question script. You are testing whether the written answers survive a live conversation.</w:t>
      </w:r>
    </w:p>
    <w:p>
      <w:pPr>
        <w:pStyle w:val="ListParagraph"/>
        <w:numPr>
          <w:ilvl w:val="0"/>
          <w:numId w:val="2"/>
        </w:numPr>
        <w:rPr/>
      </w:pPr>
      <w:r>
        <w:rPr>
          <w:b/>
          <w:bCs/>
        </w:rPr>
        <w:t>Negotiate the contract.</w:t>
      </w:r>
      <w:r>
        <w:rPr/>
        <w:t xml:space="preserve"> Section 4.3 explains the terms that matter and the floor below which you do not go. Artifact 4b is the clause library.</w:t>
      </w:r>
    </w:p>
    <w:p>
      <w:pPr>
        <w:pStyle w:val="ListParagraph"/>
        <w:numPr>
          <w:ilvl w:val="0"/>
          <w:numId w:val="2"/>
        </w:numPr>
        <w:rPr/>
      </w:pPr>
      <w:r>
        <w:rPr>
          <w:b/>
          <w:bCs/>
        </w:rPr>
        <w:t>Sign only when the checklist passes</w:t>
      </w:r>
      <w:r>
        <w:rPr/>
        <w:t xml:space="preserve"> for the system’s tier, and route the signed checklist through the procurement approval gate defined in Module 3.</w:t>
      </w:r>
    </w:p>
    <w:p>
      <w:pPr>
        <w:pStyle w:val="Normal"/>
        <w:rPr/>
      </w:pPr>
      <w:r>
        <w:rPr/>
        <w:t>This module governs the buying. Module 6 governs the running. Acceptance testing, the practice of testing the system on your own data before you rely on it, appears in both: here as a right you write into the contract, there as a stage you execute before go-live.</w:t>
      </w:r>
    </w:p>
    <w:p>
      <w:pPr>
        <w:pStyle w:val="Normal"/>
        <w:rPr/>
      </w:pPr>
      <w:r>
        <w:rPr>
          <w:b/>
          <w:bCs/>
        </w:rPr>
        <w:t>Check locally:</w:t>
      </w:r>
      <w:r>
        <w:rPr/>
        <w:t xml:space="preserve"> some public procurement regimes leave no room to negotiate after tenders close, and some prescribe standard terms. That makes this module more useful there, and differently used: in those regimes the tender is the negotiation, because every demand from 4.2 and every clause requirement from 4.3 written into the tender becomes binding through the vendor’s response, without a bargaining table. Where your procurement law fixes a term you cannot change, record the gap on the due diligence checklist as a risk the institution accepts knowingly, and check whether your regime’s standard clauses already cover it.</w:t>
      </w:r>
      <w:bookmarkEnd w:id="1"/>
    </w:p>
    <w:p>
      <w:pPr>
        <w:pStyle w:val="Heading2"/>
        <w:rPr/>
      </w:pPr>
      <w:bookmarkStart w:id="2" w:name="what-to-demand-before-signing"/>
      <w:r>
        <w:rPr/>
        <w:t>4.2 What to demand before signing</w:t>
      </w:r>
    </w:p>
    <w:p>
      <w:pPr>
        <w:pStyle w:val="Boxtext"/>
        <w:rPr/>
      </w:pPr>
      <w:r>
        <w:rPr>
          <w:b/>
          <w:bCs/>
        </w:rPr>
        <w:t>If a vendor’s claim matters to your decision, get it in writing, and make the writing part of the contract.</w:t>
      </w:r>
    </w:p>
    <w:p>
      <w:pPr>
        <w:pStyle w:val="Normal"/>
        <w:rPr/>
      </w:pPr>
      <w:r>
        <w:rPr/>
        <w:t>Everything below goes into the tender as a required deliverable. Each demand here reappears as a line in the due diligence checklist (Artifact 4a) and most have a matching clause in the library (Artifact 4b).</w:t>
      </w:r>
    </w:p>
    <w:p>
      <w:pPr>
        <w:pStyle w:val="Heading3"/>
        <w:rPr/>
      </w:pPr>
      <w:bookmarkStart w:id="3" w:name="system-and-purpose-documentation"/>
      <w:r>
        <w:rPr/>
        <w:t>4.2.1 System and purpose documentation</w:t>
      </w:r>
    </w:p>
    <w:p>
      <w:pPr>
        <w:pStyle w:val="Normal"/>
        <w:rPr/>
      </w:pPr>
      <w:r>
        <w:rPr>
          <w:b/>
          <w:bCs/>
        </w:rPr>
        <w:t>What to demand:</w:t>
      </w:r>
      <w:r>
        <w:rPr/>
        <w:t xml:space="preserve"> a system description document, in plain language, covering: what the system does; its intended uses and intended users; its explicitly excluded uses; what data goes in and what comes out; whether it is a predictive system (it scores, ranks, classifies, or forecasts) or a generative system (it produces text, images, code, or other content); and a general description of the data it was trained on, including the time period, the countries or regions, the languages, and the kinds of people or records it covers.</w:t>
      </w:r>
    </w:p>
    <w:p>
      <w:pPr>
        <w:pStyle w:val="Normal"/>
        <w:rPr/>
      </w:pPr>
      <w:r>
        <w:rPr/>
        <w:t>The excluded-uses list is where vendors tell you where the system breaks. The training data description is what lets you answer the population question in 4.2.2. You do not need the training data itself, and most vendors will not provide it. You need to know what world the system learned from, so you can judge how far your world is from it.</w:t>
      </w:r>
    </w:p>
    <w:p>
      <w:pPr>
        <w:pStyle w:val="Normal"/>
        <w:rPr/>
      </w:pPr>
      <w:r>
        <w:rPr>
          <w:b/>
          <w:bCs/>
        </w:rPr>
        <w:t>Tender language you can lift:</w:t>
      </w:r>
      <w:r>
        <w:rPr/>
        <w:t xml:space="preserve"> “Provide a system description document covering intended use, excluded uses, inputs, outputs, system type, and a general description of training data including time period, geography, languages, and population coverage. This document will be incorporated into the contract.”</w:t>
      </w:r>
      <w:bookmarkEnd w:id="3"/>
    </w:p>
    <w:p>
      <w:pPr>
        <w:pStyle w:val="Heading3"/>
        <w:rPr/>
      </w:pPr>
      <w:bookmarkStart w:id="4" w:name="X4bc1b90790e9da1e2d0deb1a8d91af7a589e937"/>
      <w:r>
        <w:rPr/>
        <w:t>4.2.2 Performance evidence, and the population question</w:t>
      </w:r>
    </w:p>
    <w:p>
      <w:pPr>
        <w:pStyle w:val="Normal"/>
        <w:rPr/>
      </w:pPr>
      <w:r>
        <w:rPr>
          <w:b/>
          <w:bCs/>
        </w:rPr>
        <w:t>What to demand:</w:t>
      </w:r>
      <w:r>
        <w:rPr/>
        <w:t xml:space="preserve"> every performance claim the vendor makes, in writing, with three things attached to each claim: the metric used, the dataset or environment it was measured on, and a description of the population in that dataset. Then the direct question, in the tender, in these words or your own: </w:t>
      </w:r>
      <w:r>
        <w:rPr>
          <w:b/>
          <w:bCs/>
        </w:rPr>
        <w:t>“Was this system’s performance measured on people like the people we serve? Provide the evidence.”</w:t>
      </w:r>
    </w:p>
    <w:p>
      <w:pPr>
        <w:pStyle w:val="Normal"/>
        <w:rPr/>
      </w:pPr>
      <w:r>
        <w:rPr/>
        <w:t>For any system whose outputs affect people (Tier 2 in Module 2), also demand performance broken out by subgroup, chosen by a simple rule: the groups your institution already reports on elsewhere, plus any group your national law protects. If your institution reports nothing by group today, start with age, sex, and language. Ask what the vendor measured, and ask what they did not measure.</w:t>
      </w:r>
    </w:p>
    <w:p>
      <w:pPr>
        <w:pStyle w:val="Boxtext"/>
        <w:rPr/>
      </w:pPr>
      <w:r>
        <w:rPr>
          <w:b/>
          <w:bCs/>
        </w:rPr>
        <w:t>Why the population question exists.</w:t>
      </w:r>
      <w:r>
        <w:rPr/>
        <w:t xml:space="preserve"> In 2019, researchers published an analysis in the journal Science of a commercial algorithm used across the United States health system to decide which patients should be offered extra care management. The algorithm affected millions of patients. It predicted each patient’s future healthcare costs and treated predicted cost as a measure of medical need. Because less money had historically been spent on the care of Black patients than on equally sick White patients, the algorithm concluded that Black patients were healthier than they were. At the same risk score, Black patients were considerably sicker. The researchers calculated that removing this bias would raise the share of Black patients identified for extra help from 17.7 percent to 46.5 percent. The study is Obermeyer, Powers, Vogeli, and Mullainathan, “Dissecting Racial Bias in an Algorithm Used to Manage the Health of Populations,” Science, 2019 (full citation in the references). No buyer could have caught this by reading accuracy figures. The overall accuracy looked fine. It could have been caught, and was eventually caught, by asking what the system predicts, and how its outputs distribute across groups of real people. That is why 4.2.1 demands a description of what the system does in plain terms, and why this section demands subgroup evidence rather than a single headline number.</w:t>
      </w:r>
    </w:p>
    <w:p>
      <w:pPr>
        <w:pStyle w:val="Normal"/>
        <w:rPr/>
      </w:pPr>
      <w:r>
        <w:rPr>
          <w:b/>
          <w:bCs/>
        </w:rPr>
        <w:t>Also demand:</w:t>
      </w:r>
      <w:r>
        <w:rPr/>
        <w:t xml:space="preserve"> the vendor’s method, in enough detail that the result could be checked. You may never check it yourself. Demanding it changes what the vendor sends you.</w:t>
      </w:r>
      <w:bookmarkEnd w:id="4"/>
    </w:p>
    <w:p>
      <w:pPr>
        <w:pStyle w:val="Heading3"/>
        <w:rPr/>
      </w:pPr>
      <w:bookmarkStart w:id="5" w:name="known-limitations-and-failure-modes"/>
      <w:r>
        <w:rPr/>
        <w:t>4.2.3 Known limitations and failure modes</w:t>
      </w:r>
    </w:p>
    <w:p>
      <w:pPr>
        <w:pStyle w:val="Normal"/>
        <w:rPr/>
      </w:pPr>
      <w:r>
        <w:rPr>
          <w:b/>
          <w:bCs/>
        </w:rPr>
        <w:t>What to demand:</w:t>
      </w:r>
      <w:r>
        <w:rPr/>
        <w:t xml:space="preserve"> a written limitations statement: the conditions under which performance degrades, the kinds of inputs the system handles badly, known failure modes, and any populations, languages, or settings where it has not been tested.</w:t>
      </w:r>
    </w:p>
    <w:p>
      <w:pPr>
        <w:pStyle w:val="Normal"/>
        <w:rPr/>
      </w:pPr>
      <w:bookmarkStart w:id="6" w:name="known-limitations-and-failure-modes"/>
      <w:r>
        <w:rPr/>
        <w:t>Every real system has limitations and every serious developer has documented them internally. A vendor who provides none is telling you one of two things: they do not know their own system, or they will not tell you. Either answer disqualifies the vendor for a Tier 2 purchase. Module 3 requires the humans who oversee the system to be trained on its known failure modes, and this statement is the training material.</w:t>
      </w:r>
      <w:bookmarkEnd w:id="6"/>
    </w:p>
    <w:p>
      <w:pPr>
        <w:pStyle w:val="Heading3"/>
        <w:rPr/>
      </w:pPr>
      <w:bookmarkStart w:id="7" w:name="audit-logs"/>
      <w:r>
        <w:rPr/>
        <w:t>4.2.4 Audit logs</w:t>
      </w:r>
    </w:p>
    <w:p>
      <w:pPr>
        <w:pStyle w:val="Normal"/>
        <w:rPr/>
      </w:pPr>
      <w:r>
        <w:rPr>
          <w:b/>
          <w:bCs/>
        </w:rPr>
        <w:t>What to demand:</w:t>
      </w:r>
      <w:r>
        <w:rPr/>
        <w:t xml:space="preserve"> written confirmation of what the system records about its own operation. An </w:t>
      </w:r>
      <w:r>
        <w:rPr>
          <w:b/>
          <w:bCs/>
        </w:rPr>
        <w:t>audit log</w:t>
      </w:r>
      <w:r>
        <w:rPr/>
        <w:t xml:space="preserve"> is the system’s own record of what happened: what input was received, what output was produced, when, under which model version, and at whose request. Demand: the list of what is logged; who can access the logs; how long they are kept; and that your institution can export them in a documented format.</w:t>
      </w:r>
    </w:p>
    <w:p>
      <w:pPr>
        <w:pStyle w:val="Normal"/>
        <w:rPr/>
      </w:pPr>
      <w:bookmarkStart w:id="8" w:name="audit-logs"/>
      <w:r>
        <w:rPr/>
        <w:t>Without logs you cannot answer a complaint from an affected person (Module 6), investigate an incident, or check a vendor’s account of events against the record. A system that keeps no logs, or whose logs only the vendor can read, cannot be governed. For Tier 2 systems, treat missing or vendor-locked logs as disqualifying.</w:t>
      </w:r>
      <w:bookmarkEnd w:id="8"/>
    </w:p>
    <w:p>
      <w:pPr>
        <w:pStyle w:val="Heading3"/>
        <w:rPr/>
      </w:pPr>
      <w:bookmarkStart w:id="9" w:name="security-and-data-handling-attestations"/>
      <w:r>
        <w:rPr/>
        <w:t>4.2.5 Security and data handling attestations</w:t>
      </w:r>
    </w:p>
    <w:p>
      <w:pPr>
        <w:pStyle w:val="Normal"/>
        <w:rPr/>
      </w:pPr>
      <w:r>
        <w:rPr>
          <w:b/>
          <w:bCs/>
        </w:rPr>
        <w:t>What to demand, at tender stage:</w:t>
      </w:r>
      <w:r>
        <w:rPr/>
        <w:t xml:space="preserve"> where your data will be stored, processed, and backed up, by country; who at the vendor and its subcontractors can access it; whether your data or your users’ inputs will be used to train or improve any model, now or later; and copies of any security certifications the vendor claims, together with the scope statement of each certificate (a certificate can cover one product, one office, or one process; the scope statement tells you which).</w:t>
      </w:r>
    </w:p>
    <w:p>
      <w:pPr>
        <w:pStyle w:val="Normal"/>
        <w:rPr/>
      </w:pPr>
      <w:bookmarkStart w:id="10" w:name="security-and-data-handling-attestations"/>
      <w:r>
        <w:rPr/>
        <w:t>Module 5 is where your institution settles its own data questions before anything leaves the building. This section is the vendor-facing half: the answers you must hold in writing before you can even run the Module 5 checklist. Demand them now, while the tender gives you the power to demand.</w:t>
      </w:r>
      <w:bookmarkEnd w:id="10"/>
    </w:p>
    <w:p>
      <w:pPr>
        <w:pStyle w:val="Heading3"/>
        <w:rPr/>
      </w:pPr>
      <w:bookmarkStart w:id="11" w:name="X891659dd181bcd50906dab4eab246decc24a1bc"/>
      <w:r>
        <w:rPr/>
        <w:t>4.2.6 Incident history and notification commitment</w:t>
      </w:r>
    </w:p>
    <w:p>
      <w:pPr>
        <w:pStyle w:val="Normal"/>
        <w:rPr/>
      </w:pPr>
      <w:r>
        <w:rPr>
          <w:b/>
          <w:bCs/>
        </w:rPr>
        <w:t>What to demand:</w:t>
      </w:r>
      <w:r>
        <w:rPr/>
        <w:t xml:space="preserve"> a summary of security and performance incidents affecting this product over a defined period (three years is a workable ask), and the vendor’s standard commitment for notifying customers of incidents, expressed as a number of hours or days. Vagueness here (“promptly,” “without undue delay”) is a finding: it means the vendor has no internal clock, or has one and will not show you.</w:t>
      </w:r>
      <w:bookmarkEnd w:id="11"/>
    </w:p>
    <w:p>
      <w:pPr>
        <w:pStyle w:val="Heading3"/>
        <w:rPr/>
      </w:pPr>
      <w:bookmarkStart w:id="12" w:name="update-and-change-policy"/>
      <w:r>
        <w:rPr/>
        <w:t>4.2.7 Update and change policy</w:t>
      </w:r>
    </w:p>
    <w:p>
      <w:pPr>
        <w:pStyle w:val="Normal"/>
        <w:rPr/>
      </w:pPr>
      <w:r>
        <w:rPr>
          <w:b/>
          <w:bCs/>
        </w:rPr>
        <w:t>What to demand:</w:t>
      </w:r>
      <w:r>
        <w:rPr/>
        <w:t xml:space="preserve"> the vendor’s written policy on changing the system in service. Specifically: whether the model can change without notice to you (a </w:t>
      </w:r>
      <w:r>
        <w:rPr>
          <w:b/>
          <w:bCs/>
        </w:rPr>
        <w:t>silent update</w:t>
      </w:r>
      <w:r>
        <w:rPr/>
        <w:t>); how much advance notice you get; whether changes come with a changelog (a written list of what changed); and whether you can test a change before it reaches your live system, or decline it for a period.</w:t>
      </w:r>
    </w:p>
    <w:p>
      <w:pPr>
        <w:pStyle w:val="Normal"/>
        <w:rPr/>
      </w:pPr>
      <w:bookmarkStart w:id="13" w:name="update-and-change-policy"/>
      <w:r>
        <w:rPr/>
        <w:t>The system you validate before go-live is only the system you run until the first update. Module 6 defines the operational routine for handling updates. That routine is impossible unless the rights are in the contract, and the rights are only in the contract if the demand was in the tender.</w:t>
      </w:r>
      <w:bookmarkEnd w:id="13"/>
    </w:p>
    <w:p>
      <w:pPr>
        <w:pStyle w:val="Heading3"/>
        <w:rPr/>
      </w:pPr>
      <w:bookmarkStart w:id="14" w:name="additional-demands-for-generative-tools"/>
      <w:r>
        <w:rPr/>
        <w:t>4.2.8 Additional demands for generative tools</w:t>
      </w:r>
    </w:p>
    <w:p>
      <w:pPr>
        <w:pStyle w:val="Normal"/>
        <w:rPr/>
      </w:pPr>
      <w:r>
        <w:rPr/>
        <w:t>Generative systems, including chat assistants, drafting aids, and code assistants, need everything above plus four demands of their own:</w:t>
      </w:r>
    </w:p>
    <w:p>
      <w:pPr>
        <w:pStyle w:val="ListParagraph"/>
        <w:numPr>
          <w:ilvl w:val="0"/>
          <w:numId w:val="9"/>
        </w:numPr>
        <w:rPr/>
      </w:pPr>
      <w:r>
        <w:rPr>
          <w:b/>
          <w:bCs/>
        </w:rPr>
        <w:t>Error rates, measured.</w:t>
      </w:r>
      <w:r>
        <w:rPr/>
        <w:t xml:space="preserve"> Generative systems produce confident false statements (commonly called </w:t>
      </w:r>
      <w:r>
        <w:rPr>
          <w:b/>
          <w:bCs/>
        </w:rPr>
        <w:t>hallucinations</w:t>
      </w:r>
      <w:r>
        <w:rPr/>
        <w:t>). Demand the vendor’s measured rate of factual error, and the method behind the measurement. A vendor who says the rate is zero, or that it cannot be measured, has answered your question.</w:t>
      </w:r>
    </w:p>
    <w:p>
      <w:pPr>
        <w:pStyle w:val="ListParagraph"/>
        <w:numPr>
          <w:ilvl w:val="0"/>
          <w:numId w:val="10"/>
        </w:numPr>
        <w:rPr/>
      </w:pPr>
      <w:r>
        <w:rPr>
          <w:b/>
          <w:bCs/>
        </w:rPr>
        <w:t>Input attack testing.</w:t>
      </w:r>
      <w:r>
        <w:rPr/>
        <w:t xml:space="preserve"> A </w:t>
      </w:r>
      <w:r>
        <w:rPr>
          <w:b/>
          <w:bCs/>
        </w:rPr>
        <w:t>prompt injection</w:t>
      </w:r>
      <w:r>
        <w:rPr/>
        <w:t xml:space="preserve"> is an attack where instructions hidden in the text a system reads (an email, a document, a web page) hijack its behaviour. Demand written evidence that the product has been tested against this class of attack, and what the results were.</w:t>
      </w:r>
    </w:p>
    <w:p>
      <w:pPr>
        <w:pStyle w:val="ListParagraph"/>
        <w:numPr>
          <w:ilvl w:val="0"/>
          <w:numId w:val="11"/>
        </w:numPr>
        <w:rPr/>
      </w:pPr>
      <w:r>
        <w:rPr>
          <w:b/>
          <w:bCs/>
        </w:rPr>
        <w:t>Retention and training on your inputs.</w:t>
      </w:r>
      <w:r>
        <w:rPr/>
        <w:t xml:space="preserve"> Demand, in writing: are user prompts and uploaded content retained, for how long, and are they used for training? For institutional deployment the answer you require is a configuration where your users’ inputs are excluded from training. If that configuration does not exist, route the finding into Module 5 before any real data touches the tool.</w:t>
      </w:r>
    </w:p>
    <w:p>
      <w:pPr>
        <w:pStyle w:val="ListParagraph"/>
        <w:numPr>
          <w:ilvl w:val="0"/>
          <w:numId w:val="12"/>
        </w:numPr>
        <w:rPr/>
      </w:pPr>
      <w:r>
        <w:rPr>
          <w:b/>
          <w:bCs/>
        </w:rPr>
        <w:t>Per-user logging.</w:t>
      </w:r>
      <w:r>
        <w:rPr/>
        <w:t xml:space="preserve"> Demand that the tool can log which user submitted what and received what, exportable by your institution. Without this, you cannot investigate misuse or answer a complaint.</w:t>
      </w:r>
    </w:p>
    <w:p>
      <w:pPr>
        <w:pStyle w:val="Normal"/>
        <w:rPr/>
      </w:pPr>
      <w:r>
        <w:rPr>
          <w:b/>
          <w:bCs/>
        </w:rPr>
        <w:t>Check locally:</w:t>
      </w:r>
      <w:r>
        <w:rPr/>
        <w:t xml:space="preserve"> where the EU AI Act applies, its Article 50 transparency duties apply from 2 August 2026. Ask the vendor, in writing, how the product tells people they are dealing with an AI system and how it marks the content it generates. Your institution must disclose deepfakes, and AI-generated text published to inform the public on matters of public interest, unless the text has had human review and someone holds editorial responsibility for it.</w:t>
      </w:r>
    </w:p>
    <w:p>
      <w:pPr>
        <w:pStyle w:val="Normal"/>
        <w:rPr/>
      </w:pPr>
      <w:bookmarkStart w:id="15" w:name="what-to-demand-before-signing"/>
      <w:bookmarkStart w:id="16" w:name="additional-demands-for-generative-tools"/>
      <w:r>
        <w:rPr/>
        <w:t>A note on scale: these four demands apply even when the tool is cheap or free, because free tools take payment in data. Section 4.6 gives the shortened path for low-tier purchases.</w:t>
      </w:r>
      <w:bookmarkEnd w:id="15"/>
      <w:bookmarkEnd w:id="16"/>
    </w:p>
    <w:p>
      <w:pPr>
        <w:pStyle w:val="Heading2"/>
        <w:rPr/>
      </w:pPr>
      <w:bookmarkStart w:id="17" w:name="the-contract-terms-that-matter"/>
      <w:r>
        <w:rPr/>
        <w:t>4.3 The contract terms that matter</w:t>
      </w:r>
    </w:p>
    <w:p>
      <w:pPr>
        <w:pStyle w:val="Normal"/>
        <w:rPr/>
      </w:pPr>
      <w:r>
        <w:rPr/>
        <w:t xml:space="preserve">This section walks through the terms in plain language. For every term except two, Artifact 4b gives model wording (the exceptions: liability, 4.3.9, which is deliberately left to your counsel, and the support severity definitions, 4.3.12, which are given as pasteable text in the section itself), and the marker </w:t>
      </w:r>
      <w:r>
        <w:rPr>
          <w:b/>
          <w:bCs/>
        </w:rPr>
        <w:t>“Do not concede”</w:t>
      </w:r>
      <w:r>
        <w:rPr/>
        <w:t xml:space="preserve"> states the floor for Tier 2 systems: the point below which you walk away rather than sign.</w:t>
      </w:r>
    </w:p>
    <w:p>
      <w:pPr>
        <w:pStyle w:val="Boxtext"/>
        <w:rPr/>
      </w:pPr>
      <w:r>
        <w:rPr>
          <w:b/>
          <w:bCs/>
        </w:rPr>
        <w:t>The clause library is drafting guidance. Contract law is national law, and it varies.</w:t>
      </w:r>
      <w:r>
        <w:rPr/>
        <w:t xml:space="preserve"> A clause that protects you in one jurisdiction may be unenforceable in another. Before signature, the final contract must be reviewed by a lawyer qualified in your jurisdiction. Sections 4.3.9 (liability) and 4.3.7 (breach notification) are where local law matters most; say so to your lawyer and they will know where to look.</w:t>
      </w:r>
    </w:p>
    <w:p>
      <w:pPr>
        <w:pStyle w:val="Heading3"/>
        <w:rPr/>
      </w:pPr>
      <w:bookmarkStart w:id="18" w:name="documentation-becomes-warranty"/>
      <w:r>
        <w:rPr/>
        <w:t>4.3.1 Documentation becomes warranty</w:t>
      </w:r>
    </w:p>
    <w:p>
      <w:pPr>
        <w:pStyle w:val="Normal"/>
        <w:rPr/>
      </w:pPr>
      <w:r>
        <w:rPr/>
        <w:t>Every document the vendor produced under section 4.2, and every written performance claim, gets attached to the contract and stated to be accurate. If a claim later proves materially false, that is a breach of contract with remedies, on the same footing as a failure to deliver.</w:t>
      </w:r>
    </w:p>
    <w:p>
      <w:pPr>
        <w:pStyle w:val="Normal"/>
        <w:rPr/>
      </w:pPr>
      <w:r>
        <w:rPr/>
        <w:t xml:space="preserve">It converts the sales process into commitments. </w:t>
      </w:r>
      <w:r>
        <w:rPr>
          <w:b/>
          <w:bCs/>
        </w:rPr>
        <w:t>Do not concede:</w:t>
      </w:r>
      <w:r>
        <w:rPr/>
        <w:t xml:space="preserve"> a contract that states the vendor’s marketing and pre-contract statements have no legal effect (a common clause called “entire agreement” often does this) while refusing to attach the documentation. If the pre-contract claims are excluded, the claims you relied on to buy do not exist.</w:t>
      </w:r>
      <w:bookmarkEnd w:id="18"/>
    </w:p>
    <w:p>
      <w:pPr>
        <w:pStyle w:val="Heading3"/>
        <w:rPr/>
      </w:pPr>
      <w:bookmarkStart w:id="19" w:name="X5c489ed5b950ec891c011388e2fd4ab32d5d60f"/>
      <w:r>
        <w:rPr/>
        <w:t>4.3.2 Acceptance testing and a performance warranty</w:t>
      </w:r>
    </w:p>
    <w:p>
      <w:pPr>
        <w:pStyle w:val="Normal"/>
        <w:rPr/>
      </w:pPr>
      <w:r>
        <w:rPr/>
        <w:t>The contract states: before the system goes live, and before the main payment milestone, your institution will test it on its own data against criteria agreed in the contract, and the system must meet them. (How to run that test without a data science team is Module 6, section 6.2. Here you are securing the right, the vendor’s cooperation, and the consequence of failure.) The contract also states an ongoing standard: the performance the system must maintain in service, and the agreed way of measuring it.</w:t>
      </w:r>
    </w:p>
    <w:p>
      <w:pPr>
        <w:pStyle w:val="Normal"/>
        <w:rPr/>
      </w:pPr>
      <w:r>
        <w:rPr/>
        <w:t xml:space="preserve">The sepsis case in 4.1 becomes contractually impossible to ignore. A system that scores 0.63 where 0.76 was promised fails acceptance, and failing acceptance has a defined consequence: fix, renegotiate, or exit with your money. </w:t>
      </w:r>
      <w:r>
        <w:rPr>
          <w:b/>
          <w:bCs/>
        </w:rPr>
        <w:t>Do not concede:</w:t>
      </w:r>
      <w:r>
        <w:rPr/>
        <w:t xml:space="preserve"> a contract where the only performance standard is the vendor’s own benchmark on the vendor’s own data. That standard was already met before you appeared.</w:t>
      </w:r>
      <w:bookmarkEnd w:id="19"/>
    </w:p>
    <w:p>
      <w:pPr>
        <w:pStyle w:val="Heading3"/>
        <w:rPr/>
      </w:pPr>
      <w:bookmarkStart w:id="20" w:name="audit-rights"/>
      <w:r>
        <w:rPr/>
        <w:t>4.3.3 Audit rights</w:t>
      </w:r>
    </w:p>
    <w:p>
      <w:pPr>
        <w:pStyle w:val="Normal"/>
        <w:rPr/>
      </w:pPr>
      <w:r>
        <w:rPr/>
        <w:t>Your institution has the right, at least annually and additionally after any incident, to audit the system’s logs, the vendor’s compliance with the contract’s data and security commitments, and the documentation, either directly or through an independent third party bound by confidentiality.</w:t>
      </w:r>
    </w:p>
    <w:p>
      <w:pPr>
        <w:pStyle w:val="Normal"/>
        <w:rPr/>
      </w:pPr>
      <w:r>
        <w:rPr/>
        <w:t xml:space="preserve">The vendor’s commitments stay true after the sales team has gone. </w:t>
      </w:r>
      <w:r>
        <w:rPr>
          <w:b/>
          <w:bCs/>
        </w:rPr>
        <w:t>Do not concede:</w:t>
      </w:r>
      <w:r>
        <w:rPr/>
        <w:t xml:space="preserve"> for a Tier 2 system, no audit rights means no purchase.</w:t>
      </w:r>
      <w:bookmarkEnd w:id="20"/>
    </w:p>
    <w:p>
      <w:pPr>
        <w:pStyle w:val="Heading3"/>
        <w:rPr/>
      </w:pPr>
      <w:bookmarkStart w:id="21" w:name="update-and-change-control"/>
      <w:r>
        <w:rPr/>
        <w:t>4.3.4 Update and change control</w:t>
      </w:r>
    </w:p>
    <w:p>
      <w:pPr>
        <w:pStyle w:val="Normal"/>
        <w:rPr/>
      </w:pPr>
      <w:r>
        <w:rPr/>
        <w:t>No change to the model or to system behaviour reaches your live environment without: advance written notice (put a number of days in the contract; 30 is a common and workable ask for planned changes), a changelog, a window in which your institution can test the change, and the right to remain on your current version for a defined period if the test fails. Emergency security fixes are the exception, with notice to follow promptly after.</w:t>
      </w:r>
    </w:p>
    <w:p>
      <w:pPr>
        <w:pStyle w:val="Normal"/>
        <w:rPr/>
      </w:pPr>
      <w:r>
        <w:rPr/>
        <w:t xml:space="preserve">It makes Module 6’s revalidation routine possible. Without this clause, the vendor can silently replace the system you validated with one you have never seen. </w:t>
      </w:r>
      <w:r>
        <w:rPr>
          <w:b/>
          <w:bCs/>
        </w:rPr>
        <w:t>Do not concede:</w:t>
      </w:r>
      <w:r>
        <w:rPr/>
        <w:t xml:space="preserve"> silent updates to a Tier 2 system.</w:t>
      </w:r>
      <w:bookmarkEnd w:id="21"/>
    </w:p>
    <w:p>
      <w:pPr>
        <w:pStyle w:val="Heading3"/>
        <w:rPr/>
      </w:pPr>
      <w:bookmarkStart w:id="22" w:name="data-rights"/>
      <w:r>
        <w:rPr/>
        <w:t>4.3.5 Data rights</w:t>
      </w:r>
    </w:p>
    <w:p>
      <w:pPr>
        <w:pStyle w:val="Normal"/>
        <w:rPr/>
      </w:pPr>
      <w:r>
        <w:rPr/>
        <w:t>Your institution’s data remains your institution’s. The vendor may use it only to provide the contracted service. The vendor may not use it to train models, improve products, or build anything else without a separate written agreement signed by your institution. On exit, the vendor deletes your data from its systems and confirms the deletion in writing.</w:t>
      </w:r>
    </w:p>
    <w:p>
      <w:pPr>
        <w:pStyle w:val="Normal"/>
        <w:rPr/>
      </w:pPr>
      <w:r>
        <w:rPr>
          <w:b/>
          <w:bCs/>
        </w:rPr>
        <w:t>Do not concede:</w:t>
      </w:r>
      <w:r>
        <w:rPr/>
        <w:t xml:space="preserve"> any clause granting the vendor broad rights to “aggregate,” “anonymise and use,” or “derive insights from” your data by default. If the vendor wants your data for its own purposes, that is a separate negotiation with its own price, made with your eyes open and Module 5 completed.</w:t>
      </w:r>
      <w:bookmarkEnd w:id="22"/>
    </w:p>
    <w:p>
      <w:pPr>
        <w:pStyle w:val="Heading3"/>
        <w:rPr/>
      </w:pPr>
      <w:bookmarkStart w:id="23" w:name="X0261e41f330f8391492c0fac6bb6a2cd26a34f1"/>
      <w:r>
        <w:rPr/>
        <w:t>4.3.6 Data location and subcontractor transparency</w:t>
      </w:r>
    </w:p>
    <w:p>
      <w:pPr>
        <w:pStyle w:val="Normal"/>
        <w:rPr/>
      </w:pPr>
      <w:r>
        <w:rPr/>
        <w:t>The contract names the countries where your data is stored, processed, and backed up, and names the subcontractors who touch the service. Changes to either require advance notice and, for Tier 2 systems, your written consent. Every obligation the vendor owes you flows down to its subcontractors.</w:t>
      </w:r>
    </w:p>
    <w:p>
      <w:pPr>
        <w:pStyle w:val="Normal"/>
        <w:rPr/>
      </w:pPr>
      <w:r>
        <w:rPr/>
        <w:t xml:space="preserve">Without it, the vendor’s promises stop at the vendor, and the subcontractor holding your data owes you nothing. </w:t>
      </w:r>
      <w:r>
        <w:rPr>
          <w:b/>
          <w:bCs/>
        </w:rPr>
        <w:t>Check locally:</w:t>
      </w:r>
      <w:r>
        <w:rPr/>
        <w:t xml:space="preserve"> many jurisdictions restrict cross-border transfer of personal or government data. Module 5, section 5.3 gives you the questions to settle with local advice; this clause is where the answers get enforced.</w:t>
      </w:r>
      <w:bookmarkEnd w:id="23"/>
    </w:p>
    <w:p>
      <w:pPr>
        <w:pStyle w:val="Heading3"/>
        <w:rPr/>
      </w:pPr>
      <w:bookmarkStart w:id="24" w:name="Xfef02280a82cb0d40f6a3dabdc96e02aa055030"/>
      <w:r>
        <w:rPr/>
        <w:t>4.3.7 Security requirements and breach notification</w:t>
      </w:r>
    </w:p>
    <w:p>
      <w:pPr>
        <w:pStyle w:val="Normal"/>
        <w:rPr/>
      </w:pPr>
      <w:r>
        <w:rPr/>
        <w:t xml:space="preserve">The security controls the vendor committed to in the tender go into the contract as a schedule (an attached list), and the vendor commits to notify your institution of any security breach affecting your data within a stated number of hours. Write a number. Commitments in real contracts commonly range from 24 to 72 hours; pick the strictest the vendor will sign. </w:t>
      </w:r>
      <w:r>
        <w:rPr>
          <w:b/>
          <w:bCs/>
        </w:rPr>
        <w:t>Check locally:</w:t>
      </w:r>
      <w:r>
        <w:rPr/>
        <w:t xml:space="preserve"> many jurisdictions impose legal deadlines for notifying regulators and affected persons after a breach. Your vendor’s clock must run faster than your legal clock, because you cannot notify anyone about what you have not been told.</w:t>
      </w:r>
      <w:bookmarkEnd w:id="24"/>
    </w:p>
    <w:p>
      <w:pPr>
        <w:pStyle w:val="Heading3"/>
        <w:rPr/>
      </w:pPr>
      <w:bookmarkStart w:id="25" w:name="incident-notification-beyond-breaches"/>
      <w:r>
        <w:rPr/>
        <w:t>4.3.8 Incident notification beyond breaches</w:t>
      </w:r>
    </w:p>
    <w:p>
      <w:pPr>
        <w:pStyle w:val="Normal"/>
        <w:rPr/>
      </w:pPr>
      <w:bookmarkStart w:id="26" w:name="incident-notification-beyond-breaches"/>
      <w:r>
        <w:rPr/>
        <w:t>Security breaches are one kind of incident. The clause you also need: if the vendor discovers a material defect, error, or safety problem in this product, including one discovered at another customer, it notifies you within a stated number of days. The sepsis tool from section 4.1 ran in hundreds of hospitals; a defect found in one is a defect running in all of them.</w:t>
      </w:r>
      <w:bookmarkEnd w:id="26"/>
    </w:p>
    <w:p>
      <w:pPr>
        <w:pStyle w:val="Heading3"/>
        <w:rPr/>
      </w:pPr>
      <w:bookmarkStart w:id="27" w:name="liability"/>
      <w:r>
        <w:rPr/>
        <w:t>4.3.9 Liability</w:t>
      </w:r>
    </w:p>
    <w:p>
      <w:pPr>
        <w:pStyle w:val="Normal"/>
        <w:rPr/>
      </w:pPr>
      <w:r>
        <w:rPr/>
        <w:t xml:space="preserve">Two mechanisms in nearly every vendor contract decide who pays when things go wrong. First, a </w:t>
      </w:r>
      <w:r>
        <w:rPr>
          <w:b/>
          <w:bCs/>
        </w:rPr>
        <w:t>liability cap</w:t>
      </w:r>
      <w:r>
        <w:rPr/>
        <w:t xml:space="preserve">: a ceiling on what the vendor can ever owe you, often expressed as a multiple of the fees you paid. Second, </w:t>
      </w:r>
      <w:r>
        <w:rPr>
          <w:b/>
          <w:bCs/>
        </w:rPr>
        <w:t>exclusions</w:t>
      </w:r>
      <w:r>
        <w:rPr/>
        <w:t>: categories of loss the vendor never pays, commonly labelled “indirect” or “consequential” loss, labels which can be read to swallow most of the harm that would matter to you.</w:t>
      </w:r>
    </w:p>
    <w:p>
      <w:pPr>
        <w:pStyle w:val="Normal"/>
        <w:rPr/>
      </w:pPr>
      <w:r>
        <w:rPr/>
        <w:t>What you can do without a lawyer: find the cap, express it as a number, and put it beside a realistic bad outcome for this system at your institution. A cap of one year’s fees on a system that could misdirect care, benefits, or credit decisions for thousands of people is a number you can evaluate yourself. Then list the exclusions and check whether breach of the data clauses (4.3.5, 4.3.7) sits inside the cap or outside it; vendor liability for data breaches and for violating your data rights should sit outside the general cap or under a separate, higher one.</w:t>
      </w:r>
    </w:p>
    <w:p>
      <w:pPr>
        <w:pStyle w:val="Normal"/>
        <w:rPr/>
      </w:pPr>
      <w:r>
        <w:rPr>
          <w:b/>
          <w:bCs/>
        </w:rPr>
        <w:t>Check locally:</w:t>
      </w:r>
      <w:r>
        <w:rPr/>
        <w:t xml:space="preserve"> what these words mean, and whether they hold, is decided by national law and courts. This is the clause your local lawyer earns their fee on. Bring them the cap number, the exclusion list, and your realistic bad outcome, and ask one question: if this happens, what do we actually recover?</w:t>
      </w:r>
      <w:bookmarkEnd w:id="27"/>
    </w:p>
    <w:p>
      <w:pPr>
        <w:pStyle w:val="Heading3"/>
        <w:rPr/>
      </w:pPr>
      <w:bookmarkStart w:id="28" w:name="exit-and-portability"/>
      <w:r>
        <w:rPr/>
        <w:t>4.3.10 Exit and portability</w:t>
      </w:r>
    </w:p>
    <w:p>
      <w:pPr>
        <w:pStyle w:val="Normal"/>
        <w:rPr/>
      </w:pPr>
      <w:r>
        <w:rPr/>
        <w:t>The contract guarantees that on termination for any reason: the vendor exports all your data, your configurations, and your audit logs in open, documented formats within a stated number of days, at a cost fixed in the contract; the vendor provides transition assistance for a stated period; and these export obligations survive even if the termination is disputed.</w:t>
      </w:r>
    </w:p>
    <w:p>
      <w:pPr>
        <w:pStyle w:val="Normal"/>
        <w:rPr/>
      </w:pPr>
      <w:r>
        <w:rPr/>
        <w:t xml:space="preserve">It makes leaving possible, which is what makes every other clause enforceable. </w:t>
      </w:r>
      <w:r>
        <w:rPr>
          <w:b/>
          <w:bCs/>
        </w:rPr>
        <w:t>Do not concede:</w:t>
      </w:r>
      <w:r>
        <w:rPr/>
        <w:t xml:space="preserve"> never sign a contract you cannot exit.</w:t>
      </w:r>
      <w:bookmarkEnd w:id="28"/>
    </w:p>
    <w:p>
      <w:pPr>
        <w:pStyle w:val="Heading3"/>
        <w:rPr/>
      </w:pPr>
      <w:bookmarkStart w:id="29" w:name="termination-triggers"/>
      <w:r>
        <w:rPr/>
        <w:t>4.3.11 Termination triggers</w:t>
      </w:r>
    </w:p>
    <w:p>
      <w:pPr>
        <w:pStyle w:val="Normal"/>
        <w:rPr/>
      </w:pPr>
      <w:bookmarkStart w:id="30" w:name="termination-triggers"/>
      <w:r>
        <w:rPr/>
        <w:t>The contract names the events that give your institution the right to terminate: the system fails acceptance testing (4.3.2); the system fails a periodic revalidation under the agreed measurement method; the vendor makes an unnotified change in breach of 4.3.4; the vendor refuses an audit under 4.3.3; or the vendor materially breaches the data clauses. Naming the triggers matters because “material breach,” the default standard in many contracts, is an argument, while a named trigger is a fact.</w:t>
      </w:r>
      <w:bookmarkEnd w:id="30"/>
    </w:p>
    <w:p>
      <w:pPr>
        <w:pStyle w:val="Heading3"/>
        <w:rPr/>
      </w:pPr>
      <w:bookmarkStart w:id="31" w:name="support-and-escalation"/>
      <w:r>
        <w:rPr/>
        <w:t>4.3.12 Support and escalation</w:t>
      </w:r>
    </w:p>
    <w:p>
      <w:pPr>
        <w:pStyle w:val="Normal"/>
        <w:rPr/>
      </w:pPr>
      <w:bookmarkStart w:id="32" w:name="support-and-escalation"/>
      <w:r>
        <w:rPr/>
        <w:t>Response and resolution time targets, by severity level, with a named support channel and a named escalation contact at the vendor. Severity definitions belong in the contract too, or the vendor decides after the fact that your outage was minor. A usable three-level definition you can paste into the schedule: Severity 1, the System is producing wrong or harmful outputs in live use, response within [x] hours; Severity 2, the System is unavailable, response within [x] hours; Severity 3, degraded performance or a cosmetic fault, response within [x] working days.</w:t>
      </w:r>
      <w:bookmarkEnd w:id="32"/>
    </w:p>
    <w:p>
      <w:pPr>
        <w:pStyle w:val="Heading3"/>
        <w:rPr/>
      </w:pPr>
      <w:bookmarkStart w:id="33" w:name="X188831a85939764e37611abfacd9ffed5e2cbbd"/>
      <w:r>
        <w:rPr/>
        <w:t>4.3.13 Intellectual property indemnity, for generative systems</w:t>
      </w:r>
    </w:p>
    <w:p>
      <w:pPr>
        <w:pStyle w:val="Normal"/>
        <w:rPr/>
      </w:pPr>
      <w:r>
        <w:rPr/>
        <w:t xml:space="preserve">A generative system produces content, and content can infringe: output that reproduces copyrighted material the model absorbed in training exposes the institution that published the output, not only the vendor that trained the model. The term: the vendor defends and indemnifies the institution against third-party claims that the system, or output produced by the system when used as documented, infringes intellectual property rights, and at its own cost secures continued use, modifies the system, or refunds and assists exit. Clause 13 gives the wording. </w:t>
      </w:r>
      <w:r>
        <w:rPr>
          <w:b/>
          <w:bCs/>
        </w:rPr>
        <w:t>Do not concede,</w:t>
      </w:r>
      <w:r>
        <w:rPr/>
        <w:t xml:space="preserve"> for any generative system whose output leaves the institution: a contract that leaves your institution answering for what the vendor’s training data contained.</w:t>
      </w:r>
      <w:bookmarkEnd w:id="33"/>
    </w:p>
    <w:p>
      <w:pPr>
        <w:pStyle w:val="Heading3"/>
        <w:rPr/>
      </w:pPr>
      <w:bookmarkStart w:id="34" w:name="price-protection-and-product-continuity"/>
      <w:r>
        <w:rPr/>
        <w:t>4.3.14 Price protection and product continuity</w:t>
      </w:r>
    </w:p>
    <w:p>
      <w:pPr>
        <w:pStyle w:val="Normal"/>
        <w:rPr/>
      </w:pPr>
      <w:bookmarkStart w:id="35" w:name="the-contract-terms-that-matter"/>
      <w:bookmarkStart w:id="36" w:name="price-protection-and-product-continuity"/>
      <w:r>
        <w:rPr/>
        <w:t>AI pricing and product lines change fast. Two sentences for the contract: renewal price increases are capped at [x] percent or an agreed index; and the vendor gives [x] months’ notice of withdrawal or end of support of the product or the model version relied on, during which exit assistance under the exit clause is available at contracted rates. Clause 14 gives the wording; Clause 11’s termination triggers and Clause 12’s continuity arrangement carry the enforcement.</w:t>
      </w:r>
      <w:bookmarkEnd w:id="35"/>
      <w:bookmarkEnd w:id="36"/>
    </w:p>
    <w:p>
      <w:pPr>
        <w:pStyle w:val="Heading2"/>
        <w:rPr/>
      </w:pPr>
      <w:bookmarkStart w:id="37" w:name="questions-that-expose-a-weak-vendor"/>
      <w:r>
        <w:rPr/>
        <w:t>4.4 Questions that expose a weak vendor</w:t>
      </w:r>
    </w:p>
    <w:p>
      <w:pPr>
        <w:pStyle w:val="Normal"/>
        <w:rPr/>
      </w:pPr>
      <w:r>
        <w:rPr/>
        <w:t>Use this script in a live meeting with the shortlisted vendors, after you have their written tender responses. You are testing two things: whether the written answers survive a conversation, and how the vendor behaves when asked. A strong vendor welcomes these questions. They have the answers because they did the work.</w:t>
      </w:r>
    </w:p>
    <w:p>
      <w:pPr>
        <w:pStyle w:val="Normal"/>
        <w:rPr/>
      </w:pPr>
      <w:r>
        <w:rPr/>
        <w:t>Practical mechanics: two people from your institution attend, one asks, one writes down the answers verbatim. The written record goes into the procurement file, and under section 4.3.1 the answers become contractual. Tell the vendor this at the start of the meeting.</w:t>
      </w:r>
    </w:p>
    <w:p>
      <w:pPr>
        <w:pStyle w:val="Normal"/>
        <w:rPr/>
      </w:pPr>
      <w:r>
        <w:rPr/>
        <w:t>For each question below: what a strong answer sounds like, and what a weak one tells you.</w:t>
      </w:r>
    </w:p>
    <w:p>
      <w:pPr>
        <w:pStyle w:val="Normal"/>
        <w:rPr/>
      </w:pPr>
      <w:r>
        <w:rPr>
          <w:b/>
          <w:bCs/>
        </w:rPr>
        <w:t>1. “What populations, in what countries and languages, was this system’s performance measured on?”</w:t>
      </w:r>
      <w:r>
        <w:rPr/>
        <w:t xml:space="preserve"> Strong: a specific answer with a document behind it. Weak: “it works globally,” “our customer base is very diverse,” or any answer describing where it is sold rather than where it was measured.</w:t>
      </w:r>
    </w:p>
    <w:p>
      <w:pPr>
        <w:pStyle w:val="Normal"/>
        <w:rPr/>
      </w:pPr>
      <w:r>
        <w:rPr>
          <w:b/>
          <w:bCs/>
        </w:rPr>
        <w:t>2. “Which of your published performance figures would you expect us to reproduce on our own data, and why?”</w:t>
      </w:r>
      <w:r>
        <w:rPr/>
        <w:t xml:space="preserve"> Strong: a direct engagement with the difference between their test population and yours, and support for an acceptance test. Weak: hesitation at the idea that you would measure at all.</w:t>
      </w:r>
    </w:p>
    <w:p>
      <w:pPr>
        <w:pStyle w:val="Normal"/>
        <w:rPr/>
      </w:pPr>
      <w:r>
        <w:rPr>
          <w:b/>
          <w:bCs/>
        </w:rPr>
        <w:t>3. “Show us your documented limitations for this product.”</w:t>
      </w:r>
      <w:r>
        <w:rPr/>
        <w:t xml:space="preserve"> Strong: a real document, produced without friction. Weak: “there are no significant limitations.” Every real system has them. This answer means they do not know or will not say.</w:t>
      </w:r>
    </w:p>
    <w:p>
      <w:pPr>
        <w:pStyle w:val="Normal"/>
        <w:rPr/>
      </w:pPr>
      <w:r>
        <w:rPr>
          <w:b/>
          <w:bCs/>
        </w:rPr>
        <w:t>4. “What happens when the system receives an input unlike anything in its training data?”</w:t>
      </w:r>
      <w:r>
        <w:rPr/>
        <w:t xml:space="preserve"> Strong: a concrete description of behaviour: a confidence flag, a refusal, a routing to a human. Weak: “that doesn’t really happen.”</w:t>
      </w:r>
    </w:p>
    <w:p>
      <w:pPr>
        <w:pStyle w:val="Normal"/>
        <w:rPr/>
      </w:pPr>
      <w:r>
        <w:rPr>
          <w:b/>
          <w:bCs/>
        </w:rPr>
        <w:t>5. “What does the system log, who can read the logs, and how do we export them?”</w:t>
      </w:r>
      <w:r>
        <w:rPr/>
        <w:t xml:space="preserve"> Strong: a list, a retention period, and an export format. Weak: “logging is handled on our side,” which means the record of your own system’s decisions belongs to someone else.</w:t>
      </w:r>
    </w:p>
    <w:p>
      <w:pPr>
        <w:pStyle w:val="Normal"/>
        <w:rPr/>
      </w:pPr>
      <w:r>
        <w:rPr>
          <w:b/>
          <w:bCs/>
        </w:rPr>
        <w:t>6. “Who at your company, and at which subcontractors, can access our data, and from which countries?”</w:t>
      </w:r>
      <w:r>
        <w:rPr/>
        <w:t xml:space="preserve"> Strong: a named, current answer, because access control means someone maintains this list. Weak: needing to find out, for a vendor already holding other institutions’ data.</w:t>
      </w:r>
    </w:p>
    <w:p>
      <w:pPr>
        <w:pStyle w:val="Normal"/>
        <w:rPr/>
      </w:pPr>
      <w:r>
        <w:rPr>
          <w:b/>
          <w:bCs/>
        </w:rPr>
        <w:t>7. “Is our data, or our users’ inputs, used to train or improve any model, and can that be switched off in writing?”</w:t>
      </w:r>
      <w:r>
        <w:rPr/>
        <w:t xml:space="preserve"> Strong: a clear default and a contractual toggle. Weak: distinguishing between “training” and “improving services” in a way that preserves their access to your data.</w:t>
      </w:r>
    </w:p>
    <w:p>
      <w:pPr>
        <w:pStyle w:val="Normal"/>
        <w:rPr/>
      </w:pPr>
      <w:r>
        <w:rPr>
          <w:b/>
          <w:bCs/>
        </w:rPr>
        <w:t>8. “Walk us through your last significant incident on this product: what happened, when did customers learn of it, what changed afterwards?”</w:t>
      </w:r>
      <w:r>
        <w:rPr/>
        <w:t xml:space="preserve"> Strong: a real account, told plainly. Every mature product has incidents; the account tells you how they will treat you when it is your incident. Weak: “we have never had one.”</w:t>
      </w:r>
    </w:p>
    <w:p>
      <w:pPr>
        <w:pStyle w:val="Normal"/>
        <w:rPr/>
      </w:pPr>
      <w:r>
        <w:rPr>
          <w:b/>
          <w:bCs/>
        </w:rPr>
        <w:t>9. “When you update the model, how much notice do we get, what changelog, and can we test before it reaches our live system?”</w:t>
      </w:r>
      <w:r>
        <w:rPr/>
        <w:t xml:space="preserve"> Strong: an existing process with named notice periods. Weak: “updates are seamless and automatic.”</w:t>
      </w:r>
    </w:p>
    <w:p>
      <w:pPr>
        <w:pStyle w:val="Normal"/>
        <w:rPr/>
      </w:pPr>
      <w:r>
        <w:rPr>
          <w:b/>
          <w:bCs/>
        </w:rPr>
        <w:t>10. “Give us two reference customers of our type and size, and permission to ask them what went wrong in the first year.”</w:t>
      </w:r>
      <w:r>
        <w:rPr/>
        <w:t xml:space="preserve"> Strong: names, and comfort with the second half of the question. Weak: references only from customers unlike you, or references you may not ask about problems.</w:t>
      </w:r>
    </w:p>
    <w:p>
      <w:pPr>
        <w:pStyle w:val="Normal"/>
        <w:rPr/>
      </w:pPr>
      <w:r>
        <w:rPr>
          <w:b/>
          <w:bCs/>
        </w:rPr>
        <w:t>11. “For an individual output, what can the system show a reviewer about why it produced that output?”</w:t>
      </w:r>
      <w:r>
        <w:rPr/>
        <w:t xml:space="preserve"> Strong: a concrete demonstration: contributing factors, a confidence score, source passages, whatever the honest answer is for this system type, including “little, and here is how our customers oversee it anyway.” Weak: the word “proprietary” doing the work an answer should do.</w:t>
      </w:r>
    </w:p>
    <w:p>
      <w:pPr>
        <w:pStyle w:val="Normal"/>
        <w:rPr/>
      </w:pPr>
      <w:r>
        <w:rPr>
          <w:b/>
          <w:bCs/>
        </w:rPr>
        <w:t>12. “What performance differences have you measured across subgroups, and what did you do about them?”</w:t>
      </w:r>
      <w:r>
        <w:rPr/>
        <w:t xml:space="preserve"> Strong: they measured, found differences (real measurement finds differences), and can describe the response. Weak: “the system does not consider protected attributes, so it cannot be biased.” The care management case in section 4.2.2 involved a system that never used race as an input.</w:t>
      </w:r>
    </w:p>
    <w:p>
      <w:pPr>
        <w:pStyle w:val="Normal"/>
        <w:rPr/>
      </w:pPr>
      <w:r>
        <w:rPr>
          <w:b/>
          <w:bCs/>
        </w:rPr>
        <w:t>13. “If we terminate, what do we get back, in what format, in how many days, and at what cost?”</w:t>
      </w:r>
      <w:r>
        <w:rPr/>
        <w:t xml:space="preserve"> Strong: numbers, formats, a fixed price. Weak: “we’ve never had a customer leave.”</w:t>
      </w:r>
    </w:p>
    <w:p>
      <w:pPr>
        <w:pStyle w:val="Normal"/>
        <w:rPr/>
      </w:pPr>
      <w:r>
        <w:rPr>
          <w:b/>
          <w:bCs/>
        </w:rPr>
        <w:t>14. For generative tools: “What is your measured factual-error rate, and how did you measure it?”</w:t>
      </w:r>
      <w:r>
        <w:rPr/>
        <w:t xml:space="preserve"> Strong: a number, a method, and honesty about its limits. Weak: “hallucinations are largely solved” or a claim that measurement is not possible.</w:t>
      </w:r>
    </w:p>
    <w:p>
      <w:pPr>
        <w:pStyle w:val="Normal"/>
        <w:rPr/>
      </w:pPr>
      <w:r>
        <w:rPr>
          <w:b/>
          <w:bCs/>
        </w:rPr>
        <w:t>15. For generative tools: “Show us the results of your prompt injection testing.”</w:t>
      </w:r>
      <w:r>
        <w:rPr/>
        <w:t xml:space="preserve"> Strong: evidence of testing this attack class, and a patch history. Weak: unfamiliarity with the term, for a company selling a system that reads untrusted text.</w:t>
      </w:r>
    </w:p>
    <w:p>
      <w:pPr>
        <w:pStyle w:val="Normal"/>
        <w:rPr/>
      </w:pPr>
      <w:r>
        <w:rPr>
          <w:b/>
          <w:bCs/>
        </w:rPr>
        <w:t>16. “Which of the answers you have given us today will you attach to the contract?”</w:t>
      </w:r>
      <w:r>
        <w:rPr/>
        <w:t xml:space="preserve"> Strong: “all of them.” This is the question that separates a sales conversation from a commitment. Ask it last, and in those words.</w:t>
      </w:r>
    </w:p>
    <w:p>
      <w:pPr>
        <w:pStyle w:val="Normal"/>
        <w:rPr/>
      </w:pPr>
      <w:r>
        <w:rPr>
          <w:b/>
          <w:bCs/>
        </w:rPr>
        <w:t>When they cannot answer.</w:t>
      </w:r>
      <w:r>
        <w:rPr/>
        <w:t xml:space="preserve"> Distinguish two situations. “We will confirm that in writing within a week” is acceptable once or twice; complex products have specialists, and the written follow-up becomes part of the record. What is disqualifying is deflection: “proprietary” as the answer to a safety question, an answer to a different question than the one asked, or surprise that you asked at all. A vendor who cannot answer basic questions about its own system in a sales meeting, with the sale on the line, will not answer them in year two, when nothing is on the line.</w:t>
      </w:r>
      <w:bookmarkEnd w:id="37"/>
    </w:p>
    <w:p>
      <w:pPr>
        <w:pStyle w:val="Heading2"/>
        <w:rPr/>
      </w:pPr>
      <w:bookmarkStart w:id="38" w:name="red-flags-that-stop-a-purchase"/>
      <w:r>
        <w:rPr/>
        <w:t>4.5 Red flags that stop a purchase</w:t>
      </w:r>
    </w:p>
    <w:p>
      <w:pPr>
        <w:pStyle w:val="Normal"/>
        <w:rPr/>
      </w:pPr>
      <w:r>
        <w:rPr/>
        <w:t>Each item below has appeared already; this list exists so that a busy reader can check a live purchase against it in five minutes. These are patterns that predict a bad outcome strongly enough to justify stopping.</w:t>
      </w:r>
    </w:p>
    <w:p>
      <w:pPr>
        <w:pStyle w:val="ListParagraph"/>
        <w:numPr>
          <w:ilvl w:val="0"/>
          <w:numId w:val="13"/>
        </w:numPr>
        <w:rPr/>
      </w:pPr>
      <w:r>
        <w:rPr>
          <w:b/>
          <w:bCs/>
        </w:rPr>
        <w:t>Refusal of audit rights.</w:t>
      </w:r>
      <w:r>
        <w:rPr/>
        <w:t xml:space="preserve"> There is no benign reading of this for a Tier 2 system.</w:t>
      </w:r>
    </w:p>
    <w:p>
      <w:pPr>
        <w:pStyle w:val="ListParagraph"/>
        <w:numPr>
          <w:ilvl w:val="0"/>
          <w:numId w:val="14"/>
        </w:numPr>
        <w:rPr/>
      </w:pPr>
      <w:r>
        <w:rPr>
          <w:b/>
          <w:bCs/>
        </w:rPr>
        <w:t>Performance claims with no stated evaluation population.</w:t>
      </w:r>
    </w:p>
    <w:p>
      <w:pPr>
        <w:pStyle w:val="ListParagraph"/>
        <w:numPr>
          <w:ilvl w:val="0"/>
          <w:numId w:val="15"/>
        </w:numPr>
        <w:rPr/>
      </w:pPr>
      <w:r>
        <w:rPr>
          <w:b/>
          <w:bCs/>
        </w:rPr>
        <w:t>“</w:t>
      </w:r>
      <w:r>
        <w:rPr>
          <w:b/>
          <w:bCs/>
        </w:rPr>
        <w:t>Proprietary” as the answer to safety, performance, or data questions.</w:t>
      </w:r>
      <w:r>
        <w:rPr/>
        <w:t xml:space="preserve"> Protecting source code is legitimate. Refusing to say how a system was tested is a different act using the same word.</w:t>
      </w:r>
    </w:p>
    <w:p>
      <w:pPr>
        <w:pStyle w:val="ListParagraph"/>
        <w:numPr>
          <w:ilvl w:val="0"/>
          <w:numId w:val="16"/>
        </w:numPr>
        <w:rPr/>
      </w:pPr>
      <w:r>
        <w:rPr>
          <w:b/>
          <w:bCs/>
        </w:rPr>
        <w:t>No documented limitations.</w:t>
      </w:r>
      <w:r>
        <w:rPr/>
        <w:t xml:space="preserve"> See question 3 above.</w:t>
      </w:r>
    </w:p>
    <w:p>
      <w:pPr>
        <w:pStyle w:val="ListParagraph"/>
        <w:numPr>
          <w:ilvl w:val="0"/>
          <w:numId w:val="17"/>
        </w:numPr>
        <w:rPr/>
      </w:pPr>
      <w:r>
        <w:rPr>
          <w:b/>
          <w:bCs/>
        </w:rPr>
        <w:t>A silent-update policy, defended as normal.</w:t>
      </w:r>
      <w:r>
        <w:rPr/>
        <w:t xml:space="preserve"> You would be buying a system that can become a different system without your knowledge.</w:t>
      </w:r>
    </w:p>
    <w:p>
      <w:pPr>
        <w:pStyle w:val="ListParagraph"/>
        <w:numPr>
          <w:ilvl w:val="0"/>
          <w:numId w:val="18"/>
        </w:numPr>
        <w:rPr/>
      </w:pPr>
      <w:r>
        <w:rPr>
          <w:b/>
          <w:bCs/>
        </w:rPr>
        <w:t>No data deletion commitment on exit.</w:t>
      </w:r>
      <w:r>
        <w:rPr/>
        <w:t xml:space="preserve"> Your data outlives the relationship, in someone else’s hands.</w:t>
      </w:r>
    </w:p>
    <w:p>
      <w:pPr>
        <w:pStyle w:val="ListParagraph"/>
        <w:numPr>
          <w:ilvl w:val="0"/>
          <w:numId w:val="19"/>
        </w:numPr>
        <w:rPr/>
      </w:pPr>
      <w:r>
        <w:rPr>
          <w:b/>
          <w:bCs/>
        </w:rPr>
        <w:t>No export capability, or export in closed formats only.</w:t>
      </w:r>
      <w:r>
        <w:rPr/>
        <w:t xml:space="preserve"> This is a lock-in mechanism, priced into the renewal negotiations you will face later.</w:t>
      </w:r>
    </w:p>
    <w:p>
      <w:pPr>
        <w:pStyle w:val="ListParagraph"/>
        <w:numPr>
          <w:ilvl w:val="0"/>
          <w:numId w:val="20"/>
        </w:numPr>
        <w:rPr/>
      </w:pPr>
      <w:r>
        <w:rPr>
          <w:b/>
          <w:bCs/>
        </w:rPr>
        <w:t>Pressure to sign before validation.</w:t>
      </w:r>
      <w:r>
        <w:rPr/>
        <w:t xml:space="preserve"> “You can test after go-live” reverses the point of acceptance testing.</w:t>
      </w:r>
    </w:p>
    <w:p>
      <w:pPr>
        <w:pStyle w:val="ListParagraph"/>
        <w:numPr>
          <w:ilvl w:val="0"/>
          <w:numId w:val="21"/>
        </w:numPr>
        <w:rPr/>
      </w:pPr>
      <w:r>
        <w:rPr>
          <w:b/>
          <w:bCs/>
        </w:rPr>
        <w:t>Contract terms that live outside the contract.</w:t>
      </w:r>
      <w:r>
        <w:rPr/>
        <w:t xml:space="preserve"> An order form that incorporates online policies the vendor can change unilaterally means you are signing terms that do not exist yet. Demand the full terms as a fixed document.</w:t>
      </w:r>
    </w:p>
    <w:p>
      <w:pPr>
        <w:pStyle w:val="Normal"/>
        <w:rPr/>
      </w:pPr>
      <w:r>
        <w:rPr>
          <w:b/>
          <w:bCs/>
        </w:rPr>
        <w:t>The stopping rule:</w:t>
      </w:r>
      <w:r>
        <w:rPr/>
        <w:t xml:space="preserve"> one red flag pauses the purchase until it is resolved in writing. Two or more red flags on a Tier 2 purchase end the process with that vendor. Record the decision and the reason in the procurement file. A written record of a stopped purchase protects the person who stopped it.</w:t>
      </w:r>
      <w:bookmarkEnd w:id="38"/>
    </w:p>
    <w:p>
      <w:pPr>
        <w:pStyle w:val="Heading2"/>
        <w:rPr/>
      </w:pPr>
      <w:bookmarkStart w:id="39" w:name="scaling-this-module-to-the-risk-tier"/>
      <w:r>
        <w:rPr/>
        <w:t>4.6 Scaling this module to the risk tier</w:t>
      </w:r>
    </w:p>
    <w:p>
      <w:pPr>
        <w:pStyle w:val="Normal"/>
        <w:rPr/>
      </w:pPr>
      <w:r>
        <w:rPr/>
        <w:t>Applied in full, this module suits Tier 2 purchases: systems whose outputs affect decisions about people (Module 2 defines the tiers). Applying it in full to every purchase would teach your institution to bypass it.</w:t>
      </w:r>
    </w:p>
    <w:p>
      <w:pPr>
        <w:pStyle w:val="Normal"/>
        <w:rPr/>
      </w:pPr>
      <w:r>
        <w:rPr>
          <w:b/>
          <w:bCs/>
        </w:rPr>
        <w:t>Tier 2 (high stakes): the full module.</w:t>
      </w:r>
      <w:r>
        <w:rPr/>
        <w:t xml:space="preserve"> All demands in 4.2, all clauses in 4.3, the interview in 4.4, checklist pass at the Tier 2 threshold (Artifact 4a).</w:t>
      </w:r>
    </w:p>
    <w:p>
      <w:pPr>
        <w:pStyle w:val="Normal"/>
        <w:rPr/>
      </w:pPr>
      <w:r>
        <w:rPr>
          <w:b/>
          <w:bCs/>
        </w:rPr>
        <w:t>Tier 3 (operational): the documentation core plus six clauses.</w:t>
      </w:r>
      <w:r>
        <w:rPr/>
        <w:t xml:space="preserve"> Demand items 4.2.1 through 4.2.5 and, for generative tools, 4.2.8. Contract clauses: documentation as warranty (4.3.1), audit rights (4.3.3), update notice (4.3.4), data rights (4.3.5), breach notification (4.3.7), exit and portability (4.3.10). Interview optional; checklist pass at the Tier 3 threshold.</w:t>
      </w:r>
    </w:p>
    <w:p>
      <w:pPr>
        <w:pStyle w:val="Normal"/>
        <w:rPr/>
      </w:pPr>
      <w:r>
        <w:rPr>
          <w:b/>
          <w:bCs/>
        </w:rPr>
        <w:t>Tier 4 (low stakes): the short path.</w:t>
      </w:r>
      <w:r>
        <w:rPr/>
        <w:t xml:space="preserve"> Even for a cheap or free drafting aid, three questions and three clauses:</w:t>
      </w:r>
    </w:p>
    <w:p>
      <w:pPr>
        <w:pStyle w:val="ListParagraph"/>
        <w:numPr>
          <w:ilvl w:val="0"/>
          <w:numId w:val="22"/>
        </w:numPr>
        <w:rPr/>
      </w:pPr>
      <w:r>
        <w:rPr/>
        <w:t>Questions: Is our data or our users’ input used for training, and can it be switched off? What is retained and for how long? Can we export and delete our data on exit?</w:t>
      </w:r>
    </w:p>
    <w:p>
      <w:pPr>
        <w:pStyle w:val="ListParagraph"/>
        <w:numPr>
          <w:ilvl w:val="0"/>
          <w:numId w:val="23"/>
        </w:numPr>
        <w:rPr/>
      </w:pPr>
      <w:r>
        <w:rPr/>
        <w:t>Clauses (or, for off-the-shelf tools, settings and written terms you verify before rollout): data rights (4.3.5), update notice (4.3.4), exit (4.3.10).</w:t>
      </w:r>
    </w:p>
    <w:p>
      <w:pPr>
        <w:pStyle w:val="Normal"/>
        <w:rPr/>
      </w:pPr>
      <w:r>
        <w:rPr>
          <w:b/>
          <w:bCs/>
        </w:rPr>
        <w:t>A note on free and consumer-grade tools.</w:t>
      </w:r>
      <w:r>
        <w:rPr/>
        <w:t xml:space="preserve"> A free generative tool with no contract, no data commitments, and no admin controls has answered the Tier 4 questions by having no answers. The response is a rule your institution can enforce: no institutional or personal data goes into tools that have no data commitments. Module 5 turns that rule into the pre-deployment data checklist. What does not work is pretending the tools are not in the building; staff adopt them faster than procurement can see. Give staff an approved tool with real commitments, and the unapproved ones lose their audience.</w:t>
      </w:r>
    </w:p>
    <w:p>
      <w:pPr>
        <w:pStyle w:val="Normal"/>
        <w:rPr/>
      </w:pPr>
      <w:r>
        <w:rPr>
          <w:b/>
          <w:bCs/>
        </w:rPr>
        <w:t>Open source and self-hosted models.</w:t>
      </w:r>
      <w:r>
        <w:rPr/>
        <w:t xml:space="preserve"> Where there is no vendor, the demands do not vanish, they change addressee: the 4.2 documentation demands are answered from the model’s published documentation and by your integrator or host; the clauses that survive are the ones with the integrator or host; and the builder’s obligations arrive with the model (Module 1’s scope note: institutions that build or fine-tune hold both lists).</w:t>
      </w:r>
    </w:p>
    <w:p>
      <w:pPr>
        <w:pStyle w:val="Normal"/>
        <w:rPr/>
      </w:pPr>
      <w:r>
        <w:rPr>
          <w:b/>
          <w:bCs/>
        </w:rPr>
        <w:t>One rule that never scales down:</w:t>
      </w:r>
      <w:r>
        <w:rPr/>
        <w:t xml:space="preserve"> a use case can outgrow its tier. A drafting aid adopted by the legal office, or a chatbot that starts answering benefits questions, has changed tier without changing product. Module 2, section 2.4 sets the re-tiering triggers; procurement’s part is to record, for every purchase, the tier it was cleared at.</w:t>
      </w:r>
      <w:bookmarkEnd w:id="39"/>
    </w:p>
    <w:p>
      <w:pPr>
        <w:pStyle w:val="Heading2"/>
        <w:rPr/>
      </w:pPr>
      <w:bookmarkStart w:id="40" w:name="X875068f31dc64b4b70da619b708188c400b728c"/>
      <w:r>
        <w:rPr/>
        <w:t>4.7 Where this module sits in existing standards</w:t>
      </w:r>
    </w:p>
    <w:p>
      <w:pPr>
        <w:pStyle w:val="Normal"/>
        <w:keepNext w:val="true"/>
        <w:rPr/>
      </w:pPr>
      <w:r>
        <w:rPr/>
        <w:t>Specific article and clause references are collected, with verification, in the annex to this framework; the mapping at concept level:</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514"/>
        <w:gridCol w:w="2506"/>
        <w:gridCol w:w="1692"/>
        <w:gridCol w:w="1646"/>
        <w:gridCol w:w="1940"/>
      </w:tblGrid>
      <w:tr>
        <w:trPr>
          <w:tblHeader w:val="true"/>
          <w:cantSplit w:val="true"/>
        </w:trPr>
        <w:tc>
          <w:tcPr>
            <w:tcW w:w="1514"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This module</w:t>
            </w:r>
          </w:p>
        </w:tc>
        <w:tc>
          <w:tcPr>
            <w:tcW w:w="250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EU AI Act</w:t>
            </w:r>
          </w:p>
        </w:tc>
        <w:tc>
          <w:tcPr>
            <w:tcW w:w="169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NIST AI RMF</w:t>
            </w:r>
          </w:p>
        </w:tc>
        <w:tc>
          <w:tcPr>
            <w:tcW w:w="164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ISO/IEC 42001</w:t>
            </w:r>
          </w:p>
        </w:tc>
        <w:tc>
          <w:tcPr>
            <w:tcW w:w="194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OECD Principles / UNESCO Recommendation</w:t>
            </w:r>
          </w:p>
        </w:tc>
      </w:tr>
      <w:tr>
        <w:trPr>
          <w:cantSplit w:val="true"/>
        </w:trPr>
        <w:tc>
          <w:tcPr>
            <w:tcW w:w="151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4.2 documentation demands</w:t>
            </w:r>
          </w:p>
        </w:tc>
        <w:tc>
          <w:tcPr>
            <w:tcW w:w="250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Providers of high-risk systems must produce technical documentation and instructions for use; deployers are expected to operate the system according to them. Your tender demands are the buying-side mechanism for obtaining exactly this material.</w:t>
            </w:r>
          </w:p>
        </w:tc>
        <w:tc>
          <w:tcPr>
            <w:tcW w:w="169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Map function: understanding context, capabilities, and limitations before use.</w:t>
            </w:r>
          </w:p>
        </w:tc>
        <w:tc>
          <w:tcPr>
            <w:tcW w:w="16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Expectations on information from suppliers and on documented system knowledge within the management system.</w:t>
            </w:r>
          </w:p>
        </w:tc>
        <w:tc>
          <w:tcPr>
            <w:tcW w:w="19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Transparency: made concrete as named documents rather than a value statement.</w:t>
            </w:r>
          </w:p>
        </w:tc>
      </w:tr>
      <w:tr>
        <w:trPr>
          <w:cantSplit w:val="true"/>
        </w:trPr>
        <w:tc>
          <w:tcPr>
            <w:tcW w:w="151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4.2.2 population evidence, subgroup breakouts</w:t>
            </w:r>
          </w:p>
        </w:tc>
        <w:tc>
          <w:tcPr>
            <w:tcW w:w="250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Act’s concern with accuracy and with discriminatory outcomes in high-risk uses.</w:t>
            </w:r>
          </w:p>
        </w:tc>
        <w:tc>
          <w:tcPr>
            <w:tcW w:w="169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Measure function: performance evidence appropriate to context.</w:t>
            </w:r>
          </w:p>
        </w:tc>
        <w:tc>
          <w:tcPr>
            <w:tcW w:w="16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Impact assessment expectations.</w:t>
            </w:r>
          </w:p>
        </w:tc>
        <w:tc>
          <w:tcPr>
            <w:tcW w:w="19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Fairness and non-discrimination, turned into a question with a document behind it.</w:t>
            </w:r>
          </w:p>
        </w:tc>
      </w:tr>
      <w:tr>
        <w:trPr>
          <w:cantSplit w:val="true"/>
        </w:trPr>
        <w:tc>
          <w:tcPr>
            <w:tcW w:w="151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4.3 contract terms</w:t>
            </w:r>
          </w:p>
        </w:tc>
        <w:tc>
          <w:tcPr>
            <w:tcW w:w="250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Deployer obligations (use per instructions, monitoring, logging) are only performable if the contract secures the vendor cooperation each one needs.</w:t>
            </w:r>
          </w:p>
        </w:tc>
        <w:tc>
          <w:tcPr>
            <w:tcW w:w="169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Govern function: third-party risk expectations.</w:t>
            </w:r>
          </w:p>
        </w:tc>
        <w:tc>
          <w:tcPr>
            <w:tcW w:w="16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Supplier and third-party controls within the management system.</w:t>
            </w:r>
          </w:p>
        </w:tc>
        <w:tc>
          <w:tcPr>
            <w:tcW w:w="19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Accountability: a named party owes a named obligation with a remedy.</w:t>
            </w:r>
          </w:p>
        </w:tc>
      </w:tr>
      <w:tr>
        <w:trPr>
          <w:cantSplit w:val="true"/>
        </w:trPr>
        <w:tc>
          <w:tcPr>
            <w:tcW w:w="151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4.4 and 4.5 vendor evaluation</w:t>
            </w:r>
          </w:p>
        </w:tc>
        <w:tc>
          <w:tcPr>
            <w:tcW w:w="250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Supports deployer duties of care in selection.</w:t>
            </w:r>
          </w:p>
        </w:tc>
        <w:tc>
          <w:tcPr>
            <w:tcW w:w="169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Govern and Map: third-party risk identification.</w:t>
            </w:r>
          </w:p>
        </w:tc>
        <w:tc>
          <w:tcPr>
            <w:tcW w:w="16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Supplier evaluation expectations.</w:t>
            </w:r>
          </w:p>
        </w:tc>
        <w:tc>
          <w:tcPr>
            <w:tcW w:w="19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Accountability and transparency in practice.</w:t>
            </w:r>
          </w:p>
        </w:tc>
      </w:tr>
    </w:tbl>
    <w:p>
      <w:pPr>
        <w:pStyle w:val="Normal"/>
        <w:spacing w:before="160" w:after="100"/>
        <w:rPr/>
      </w:pPr>
      <w:bookmarkStart w:id="41" w:name="X875068f31dc64b4b70da619b708188c400b728c"/>
      <w:r>
        <w:rPr/>
        <w:t>If your institution is ever asked, by a regulator, a ministry, an auditor, or a board, how its AI procurement aligns with recognised standards, the completed checklist, the interview record, and the signed clauses from this module are the evidence.</w:t>
      </w:r>
      <w:bookmarkEnd w:id="41"/>
    </w:p>
    <w:p>
      <w:pPr>
        <w:pStyle w:val="Heading2"/>
        <w:pageBreakBefore/>
        <w:rPr/>
      </w:pPr>
      <w:r>
        <w:rPr/>
        <w:t>Artifact 4a: Vendor due diligence checklist</w:t>
      </w:r>
    </w:p>
    <w:p>
      <w:pPr>
        <w:pStyle w:val="Boxtext"/>
        <w:rPr/>
      </w:pPr>
      <w:r>
        <w:rPr>
          <w:b/>
          <w:bCs/>
        </w:rPr>
        <w:t>Standalone artifact.</w:t>
      </w:r>
      <w:r>
        <w:rPr/>
        <w:t xml:space="preserve"> Open AI Governance and Deployment Framework, Version 1.0. Licence: CC BY 4.0. This checklist is an operating tool and it is not legal advice.</w:t>
      </w:r>
    </w:p>
    <w:p>
      <w:pPr>
        <w:pStyle w:val="Normal"/>
        <w:rPr/>
      </w:pPr>
      <w:r>
        <w:rPr>
          <w:b/>
          <w:bCs/>
        </w:rPr>
        <w:t>How to score.</w:t>
      </w:r>
      <w:r>
        <w:rPr/>
        <w:t xml:space="preserve"> For each item, enter: </w:t>
      </w:r>
      <w:r>
        <w:rPr>
          <w:b/>
          <w:bCs/>
        </w:rPr>
        <w:t>0</w:t>
      </w:r>
      <w:r>
        <w:rPr/>
        <w:t xml:space="preserve"> (absent, refused, or answered only verbally), </w:t>
      </w:r>
      <w:r>
        <w:rPr>
          <w:b/>
          <w:bCs/>
        </w:rPr>
        <w:t>1</w:t>
      </w:r>
      <w:r>
        <w:rPr/>
        <w:t xml:space="preserve"> (partial, or promised in writing but not yet delivered), </w:t>
      </w:r>
      <w:r>
        <w:rPr>
          <w:b/>
          <w:bCs/>
        </w:rPr>
        <w:t>2</w:t>
      </w:r>
      <w:r>
        <w:rPr/>
        <w:t xml:space="preserve"> (delivered in a written document that will be attached to the contract). Items marked ★ are disqualifying items: a score of 0 on any ★ item fails the checklist for a Tier 2 purchase regardless of the total.</w:t>
      </w:r>
    </w:p>
    <w:p>
      <w:pPr>
        <w:pStyle w:val="Normal"/>
        <w:keepNext w:val="true"/>
        <w:rPr/>
      </w:pPr>
      <w:r>
        <w:rPr>
          <w:b/>
          <w:bCs/>
        </w:rPr>
        <w:t>Pass thresholds.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2599"/>
        <w:gridCol w:w="6698"/>
      </w:tblGrid>
      <w:tr>
        <w:trPr>
          <w:tblHeader w:val="true"/>
          <w:cantSplit w:val="true"/>
        </w:trPr>
        <w:tc>
          <w:tcPr>
            <w:tcW w:w="259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Tier (from the Module 2 worksheet)</w:t>
            </w:r>
          </w:p>
        </w:tc>
        <w:tc>
          <w:tcPr>
            <w:tcW w:w="669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Threshold</w:t>
            </w:r>
          </w:p>
        </w:tc>
      </w:tr>
      <w:tr>
        <w:trPr>
          <w:cantSplit w:val="true"/>
        </w:trPr>
        <w:tc>
          <w:tcPr>
            <w:tcW w:w="259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Tier 2 (high stakes)</w:t>
            </w:r>
          </w:p>
        </w:tc>
        <w:tc>
          <w:tcPr>
            <w:tcW w:w="66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 ★ item at 0, and at least 80 percent of all available points across sections A to F</w:t>
            </w:r>
          </w:p>
        </w:tc>
      </w:tr>
      <w:tr>
        <w:trPr>
          <w:cantSplit w:val="true"/>
        </w:trPr>
        <w:tc>
          <w:tcPr>
            <w:tcW w:w="259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Tier 3 (operational)</w:t>
            </w:r>
          </w:p>
        </w:tc>
        <w:tc>
          <w:tcPr>
            <w:tcW w:w="66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No 0 on items A1, B1, D1, D3, F1, and on E3 where Section E applies, and at least 60 percent of available points on sections A, B, D, F</w:t>
            </w:r>
          </w:p>
        </w:tc>
      </w:tr>
      <w:tr>
        <w:trPr>
          <w:cantSplit w:val="true"/>
        </w:trPr>
        <w:tc>
          <w:tcPr>
            <w:tcW w:w="259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Tier 4 (low stakes)</w:t>
            </w:r>
          </w:p>
        </w:tc>
        <w:tc>
          <w:tcPr>
            <w:tcW w:w="669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Items D2, F1, F3 all at 2. Other sections optional</w:t>
            </w:r>
          </w:p>
        </w:tc>
      </w:tr>
    </w:tbl>
    <w:p>
      <w:pPr>
        <w:pStyle w:val="Normal"/>
        <w:keepNext w:val="true"/>
        <w:spacing w:before="160" w:after="100"/>
        <w:rPr/>
      </w:pPr>
      <w:r>
        <w:rPr>
          <w:b/>
          <w:bCs/>
        </w:rPr>
        <w:t>Section A: System documentation</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728"/>
        <w:gridCol w:w="6090"/>
        <w:gridCol w:w="2480"/>
      </w:tblGrid>
      <w:tr>
        <w:trPr>
          <w:tblHeader w:val="true"/>
          <w:cantSplit w:val="true"/>
        </w:trPr>
        <w:tc>
          <w:tcPr>
            <w:tcW w:w="728"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9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7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A1 ★</w:t>
            </w:r>
          </w:p>
        </w:tc>
        <w:tc>
          <w:tcPr>
            <w:tcW w:w="609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description document: intended use, excluded uses, inputs, outputs, system type</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A2</w:t>
            </w:r>
          </w:p>
        </w:tc>
        <w:tc>
          <w:tcPr>
            <w:tcW w:w="609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General training data description: time period, geography, languages, population coverage</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A3 ★</w:t>
            </w:r>
          </w:p>
        </w:tc>
        <w:tc>
          <w:tcPr>
            <w:tcW w:w="609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limitations statement: degradation conditions, failure modes, untested settings</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8"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A4</w:t>
            </w:r>
          </w:p>
        </w:tc>
        <w:tc>
          <w:tcPr>
            <w:tcW w:w="609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Instructions for use suitable for training your oversight staff (Module 3)</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B: Performance evidence</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724"/>
        <w:gridCol w:w="6093"/>
        <w:gridCol w:w="2481"/>
      </w:tblGrid>
      <w:tr>
        <w:trPr>
          <w:tblHeader w:val="true"/>
          <w:cantSplit w:val="true"/>
        </w:trPr>
        <w:tc>
          <w:tcPr>
            <w:tcW w:w="724"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9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B1 ★</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Every performance claim in writing, each with metric, dataset, and population described</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B2 ★</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answer to the population question: evidence of measurement on a population like yours, or an honest statement that none exists</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B3</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Subgroup performance breakouts relevant to your setting, or a written statement of what was not measured</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B4</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Method described in enough detail to be checked</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2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B5 ★</w:t>
            </w:r>
          </w:p>
        </w:tc>
        <w:tc>
          <w:tcPr>
            <w:tcW w:w="60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agreement to acceptance testing on your data, against criteria to be fixed in the contract</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C: Vendor interview (section 4.4)</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512"/>
        <w:gridCol w:w="6305"/>
        <w:gridCol w:w="2481"/>
      </w:tblGrid>
      <w:tr>
        <w:trPr>
          <w:tblHeader w:val="true"/>
          <w:cantSplit w:val="true"/>
        </w:trPr>
        <w:tc>
          <w:tcPr>
            <w:tcW w:w="51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30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51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C1</w:t>
            </w:r>
          </w:p>
        </w:tc>
        <w:tc>
          <w:tcPr>
            <w:tcW w:w="63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Interview held, answers recorded verbatim, record in the procurement file</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1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C2</w:t>
            </w:r>
          </w:p>
        </w:tc>
        <w:tc>
          <w:tcPr>
            <w:tcW w:w="63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follow-ups received for every question deferred in the interview</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1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C3</w:t>
            </w:r>
          </w:p>
        </w:tc>
        <w:tc>
          <w:tcPr>
            <w:tcW w:w="63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confirmed (question 16) that its answers will attach to the contract</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1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C4</w:t>
            </w:r>
          </w:p>
        </w:tc>
        <w:tc>
          <w:tcPr>
            <w:tcW w:w="630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Reference calls held with at least two comparable customers, notes on file</w:t>
            </w:r>
          </w:p>
        </w:tc>
        <w:tc>
          <w:tcPr>
            <w:tcW w:w="24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D: Data, security, and logging</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737"/>
        <w:gridCol w:w="6081"/>
        <w:gridCol w:w="2480"/>
      </w:tblGrid>
      <w:tr>
        <w:trPr>
          <w:tblHeader w:val="true"/>
          <w:cantSplit w:val="true"/>
        </w:trPr>
        <w:tc>
          <w:tcPr>
            <w:tcW w:w="73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8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D1 ★</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statement of storage, processing, and backup locations, by country</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D2 ★</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Written answer on training use of your data and your users’ inputs, with an off switch</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D3 ★</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Audit logging confirmed in writing: what is logged, access, retention, export format</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D4</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Security certifications provided with scope statements covering this product</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D5</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Named subcontractor list with access and locations</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3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D6</w:t>
            </w:r>
          </w:p>
        </w:tc>
        <w:tc>
          <w:tcPr>
            <w:tcW w:w="608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history for this product (three years) and notification commitment in hours or days</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E: Generative tools only</w:t>
      </w:r>
      <w:r>
        <w:rPr/>
        <w:t xml:space="preserve"> (skip for purely predictive systems)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793"/>
        <w:gridCol w:w="6025"/>
        <w:gridCol w:w="2480"/>
      </w:tblGrid>
      <w:tr>
        <w:trPr>
          <w:tblHeader w:val="true"/>
          <w:cantSplit w:val="true"/>
        </w:trPr>
        <w:tc>
          <w:tcPr>
            <w:tcW w:w="79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02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7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E1</w:t>
            </w:r>
          </w:p>
        </w:tc>
        <w:tc>
          <w:tcPr>
            <w:tcW w:w="60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Measured factual-error rate with method</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E2</w:t>
            </w:r>
          </w:p>
        </w:tc>
        <w:tc>
          <w:tcPr>
            <w:tcW w:w="60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Prompt injection testing evidence</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E3 ★</w:t>
            </w:r>
          </w:p>
        </w:tc>
        <w:tc>
          <w:tcPr>
            <w:tcW w:w="60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Training exclusion for your users’ inputs, available and confirmed in writing</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9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E4</w:t>
            </w:r>
          </w:p>
        </w:tc>
        <w:tc>
          <w:tcPr>
            <w:tcW w:w="602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Per-user logging, exportable by your institution</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F: Contract posture</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672"/>
        <w:gridCol w:w="6146"/>
        <w:gridCol w:w="2480"/>
      </w:tblGrid>
      <w:tr>
        <w:trPr>
          <w:tblHeader w:val="true"/>
          <w:cantSplit w:val="true"/>
        </w:trPr>
        <w:tc>
          <w:tcPr>
            <w:tcW w:w="67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t>
            </w:r>
          </w:p>
        </w:tc>
        <w:tc>
          <w:tcPr>
            <w:tcW w:w="614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Item</w:t>
            </w:r>
          </w:p>
        </w:tc>
        <w:tc>
          <w:tcPr>
            <w:tcW w:w="248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Score</w:t>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F1 ★</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Exit and portability clause agreed: formats, days, fixed cost, survival</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F2 ★</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Audit rights clause agreed</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F3 ★</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Update and change control clause agreed: notice days, changelog, test window, version hold</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F4</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Documentation-as-warranty clause agreed; entire-agreement wording checked accordingly</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F5</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Breach notification hours and incident notification days written into the contract</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F6</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Liability cap written as a currency figure; compared against the estimated cost of the worst realistic failure of this system; data breach liability confirmed as sitting outside or above the general cap; local counsel review completed and dated</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67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F7</w:t>
            </w:r>
          </w:p>
        </w:tc>
        <w:tc>
          <w:tcPr>
            <w:tcW w:w="614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Named termination triggers in the contract</w:t>
            </w:r>
          </w:p>
        </w:tc>
        <w:tc>
          <w:tcPr>
            <w:tcW w:w="248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Red flag check (section 4.5).</w:t>
      </w:r>
      <w:r>
        <w:rPr/>
        <w:t xml:space="preserve"> Number of red flags present: ____. One flag: purchase paused until resolved in writing. Two or more on a Tier 2 purchase: process ends with this vendor.</w:t>
      </w:r>
    </w:p>
    <w:p>
      <w:pPr>
        <w:pStyle w:val="Normal"/>
        <w:keepNext w:val="true"/>
        <w:rPr/>
      </w:pPr>
      <w:r>
        <w:rPr>
          <w:b/>
          <w:bCs/>
        </w:rPr>
        <w:t>Result and sign-off</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5577"/>
        <w:gridCol w:w="3720"/>
      </w:tblGrid>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and vendor</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tier (attach the Module 2 worksheet)</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Total score / available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 xml:space="preserve">★ </w:t>
            </w:r>
            <w:r>
              <w:rPr>
                <w:rFonts w:eastAsia="Calibri" w:cs="Calibri"/>
                <w:kern w:val="0"/>
                <w:lang w:val="en-GB" w:eastAsia="en-GB" w:bidi="ar-SA"/>
              </w:rPr>
              <w:t>items at 0</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Result (pass / fail / paused)</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Completed by (name, role, date)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557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Approved at procurement gate (name, date)</w:t>
            </w:r>
          </w:p>
        </w:tc>
        <w:tc>
          <w:tcPr>
            <w:tcW w:w="372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bookmarkStart w:id="42" w:name="Xadf295eded25566876b94637a301399ae72b7a3"/>
            <w:bookmarkStart w:id="43" w:name="Xadf295eded25566876b94637a301399ae72b7a3"/>
            <w:bookmarkEnd w:id="43"/>
          </w:p>
        </w:tc>
      </w:tr>
    </w:tbl>
    <w:p>
      <w:pPr>
        <w:pStyle w:val="Heading2"/>
        <w:pageBreakBefore/>
        <w:rPr/>
      </w:pPr>
      <w:r>
        <w:rPr/>
        <w:t>Artifact 4b: Contract clause library</w:t>
      </w:r>
    </w:p>
    <w:p>
      <w:pPr>
        <w:pStyle w:val="Boxtext"/>
        <w:rPr/>
      </w:pPr>
      <w:r>
        <w:rPr>
          <w:b/>
          <w:bCs/>
        </w:rPr>
        <w:t>Standalone artifact.</w:t>
      </w:r>
      <w:r>
        <w:rPr/>
        <w:t xml:space="preserve"> Open AI Governance and Deployment Framework, Version 1.0. Licence: CC BY 4.0.</w:t>
      </w:r>
    </w:p>
    <w:p>
      <w:pPr>
        <w:pStyle w:val="Boxtext"/>
        <w:rPr/>
      </w:pPr>
      <w:r>
        <w:rPr>
          <w:b/>
          <w:bCs/>
        </w:rPr>
        <w:t>Read this before using any clause.</w:t>
      </w:r>
      <w:r>
        <w:rPr/>
        <w:t xml:space="preserve"> These clauses are drafting guidance written in plain language. They are not legal advice, and contract law differs by country. A clause that works in one jurisdiction may need different words, or may be unenforceable, in another. Before signature, have a lawyer qualified in your jurisdiction adapt and review the final text. Bring them this library and the vendor’s draft together; the comparison will focus their work and reduce their fee. In these clauses, “the Institution” is your organisation, “the Vendor” is the seller, and “the System” is the AI system being purchased. Bracketed items in [square brackets] are numbers or lists you must fill in; a clause with an empty bracket is not finished. Each clause carries a marker: </w:t>
      </w:r>
      <w:r>
        <w:rPr>
          <w:b/>
          <w:bCs/>
        </w:rPr>
        <w:t>(M)</w:t>
      </w:r>
      <w:r>
        <w:rPr/>
        <w:t xml:space="preserve"> mandatory, where walking away beats signing without them for a Tier 2 system; </w:t>
      </w:r>
      <w:r>
        <w:rPr>
          <w:b/>
          <w:bCs/>
        </w:rPr>
        <w:t>(R)</w:t>
      </w:r>
      <w:r>
        <w:rPr/>
        <w:t xml:space="preserve"> recommended, concede only knowingly and in writing.</w:t>
      </w:r>
    </w:p>
    <w:p>
      <w:pPr>
        <w:pStyle w:val="Normal"/>
        <w:rPr/>
      </w:pPr>
      <w:r>
        <w:rPr>
          <w:b/>
          <w:bCs/>
        </w:rPr>
        <w:t>Clause 1: Documentation as warranty (M)</w:t>
      </w:r>
      <w:r>
        <w:rPr/>
        <w:t xml:space="preserve"> The documents listed in Schedule [x] (including the system description, the limitations statement, the performance evidence, and the Vendor’s written tender and interview answers) form part of this contract. The Vendor warrants that they are accurate and complete in all material respects. A material inaccuracy in any of them is a breach of this contract. </w:t>
      </w:r>
      <w:r>
        <w:rPr>
          <w:i/>
          <w:iCs/>
        </w:rPr>
        <w:t>What this protects you from:</w:t>
      </w:r>
      <w:r>
        <w:rPr/>
        <w:t xml:space="preserve"> the sales claims evaporating at the moment you need them; an “entire agreement” clause quietly deleting everything you were told before signing.</w:t>
      </w:r>
    </w:p>
    <w:p>
      <w:pPr>
        <w:pStyle w:val="Normal"/>
        <w:rPr/>
      </w:pPr>
      <w:r>
        <w:rPr>
          <w:b/>
          <w:bCs/>
        </w:rPr>
        <w:t>Clause 2: Acceptance testing (M)</w:t>
      </w:r>
      <w:r>
        <w:rPr/>
        <w:t xml:space="preserve"> The System will not enter live use, and the payment milestone in Schedule [x] will not fall due, until the Institution has tested the System on its own data against the acceptance criteria in Schedule [x] and the System has met them. The Vendor will provide the cooperation, configuration, and technical support needed to run the test. If the System fails, the Institution may require remediation and a retest, renegotiate, or terminate under Clause 11 with a refund of amounts paid for the System. The test will begin within [x] days of signature and complete within [x] days; if the Vendor’s cooperation is not provided in time to meet those dates, the milestone does not fall due and the Institution may terminate under Clause 11. Acceptance or rejection is given in writing by the Institution’s System Owner. Where fees are paid by subscription rather than milestones, the first [x] months’ fees are refundable in full if the System fails acceptance. </w:t>
      </w:r>
      <w:r>
        <w:rPr>
          <w:i/>
          <w:iCs/>
        </w:rPr>
        <w:t>What this protects you from:</w:t>
      </w:r>
      <w:r>
        <w:rPr/>
        <w:t xml:space="preserve"> discovering, as the buyers in section 4.1 did, that claimed performance and delivered performance are different systems.</w:t>
      </w:r>
    </w:p>
    <w:p>
      <w:pPr>
        <w:pStyle w:val="Normal"/>
        <w:rPr/>
      </w:pPr>
      <w:r>
        <w:rPr>
          <w:b/>
          <w:bCs/>
        </w:rPr>
        <w:t>Clause 3: Ongoing performance warranty (R)</w:t>
      </w:r>
      <w:r>
        <w:rPr/>
        <w:t xml:space="preserve"> The Vendor warrants that, in live use, the System will perform within the ranges in Schedule [x], which states each metric by name (for example: accuracy, error rate by subgroup, alert or exception rate, response time), each with its measurement method. If measured performance falls outside the warranted range and is not restored within [x] days of notice, the Institution may terminate under Clause 11. </w:t>
      </w:r>
      <w:r>
        <w:rPr>
          <w:i/>
          <w:iCs/>
        </w:rPr>
        <w:t>What this protects you from:</w:t>
      </w:r>
      <w:r>
        <w:rPr/>
        <w:t xml:space="preserve"> the system that passes on day one and degrades quietly in service, with no lever attached to the decline.</w:t>
      </w:r>
    </w:p>
    <w:p>
      <w:pPr>
        <w:pStyle w:val="Normal"/>
        <w:rPr/>
      </w:pPr>
      <w:r>
        <w:rPr>
          <w:b/>
          <w:bCs/>
        </w:rPr>
        <w:t>Clause 4: Audit rights (M)</w:t>
      </w:r>
      <w:r>
        <w:rPr/>
        <w:t xml:space="preserve"> The Institution, or an independent auditor it appoints under confidentiality obligations, may audit the System’s logs, the documentation, and the Vendor’s compliance with this contract’s data and security commitments: at least once per year, and additionally after any incident or suspected breach. The Vendor will provide access and cooperation, with audit logs and compliance documentation made available within [72] hours of a written request. The Institution gives [x] days’ notice for routine audits and none for incident audits; the auditor is bound in writing to confidentiality; audits are conducted so as not to disrupt the service; and each party bears its own costs, except that audits beyond the first in any year are at the Institution’s cost. </w:t>
      </w:r>
      <w:r>
        <w:rPr>
          <w:i/>
          <w:iCs/>
        </w:rPr>
        <w:t>What this protects you from:</w:t>
      </w:r>
      <w:r>
        <w:rPr/>
        <w:t xml:space="preserve"> commitments that are true only in the sales meeting.</w:t>
      </w:r>
    </w:p>
    <w:p>
      <w:pPr>
        <w:pStyle w:val="Normal"/>
        <w:rPr/>
      </w:pPr>
      <w:r>
        <w:rPr>
          <w:b/>
          <w:bCs/>
        </w:rPr>
        <w:t>Clause 5: Update and change control (M)</w:t>
      </w:r>
      <w:r>
        <w:rPr/>
        <w:t xml:space="preserve"> The Vendor will give the Institution at least [30] days’ written notice of any change to the model or to System behaviour, with a written description of what is changing and why. The Institution may test the change before it is applied to its live environment and may decline it, remaining on its current version, for up to [x] months. Emergency security fixes may be applied immediately, with notice and description to follow within [x] days. If an applied change degrades the System against Schedule [x], the Vendor will restore the Institution’s prior version (rollback) within [x] days of notice, at no charge. </w:t>
      </w:r>
      <w:r>
        <w:rPr>
          <w:i/>
          <w:iCs/>
        </w:rPr>
        <w:t>What this protects you from:</w:t>
      </w:r>
      <w:r>
        <w:rPr/>
        <w:t xml:space="preserve"> silent updates: the validated system being replaced, unseen, by a system nobody validated.</w:t>
      </w:r>
    </w:p>
    <w:p>
      <w:pPr>
        <w:pStyle w:val="Normal"/>
        <w:rPr/>
      </w:pPr>
      <w:r>
        <w:rPr>
          <w:b/>
          <w:bCs/>
        </w:rPr>
        <w:t>Clause 6: Data ownership and permitted use (M)</w:t>
      </w:r>
      <w:r>
        <w:rPr/>
        <w:t xml:space="preserve"> All data the Institution or its users provide to the System, and all outputs generated from it, remain the property of the Institution. The Vendor will use this data only to provide the contracted service. The Vendor will not use it to train, improve, or develop any model or product, and will not sell, share, or derive products from it, in original, aggregated, or anonymised form, without a separate written agreement signed by the Institution. </w:t>
      </w:r>
      <w:r>
        <w:rPr>
          <w:i/>
          <w:iCs/>
        </w:rPr>
        <w:t>What this protects you from:</w:t>
      </w:r>
      <w:r>
        <w:rPr/>
        <w:t xml:space="preserve"> your institution’s records, and your users’ inputs, becoming someone else’s asset by default. </w:t>
      </w:r>
      <w:r>
        <w:rPr>
          <w:i/>
          <w:iCs/>
        </w:rPr>
        <w:t>Check locally:</w:t>
      </w:r>
      <w:r>
        <w:rPr/>
        <w:t xml:space="preserve"> who can own AI-generated output, and what rights exist in it, varies by jurisdiction; have counsel adapt the ownership words to your law. The clause’s enforceable core is the restriction on the Vendor’s use, which does not depend on ownership doctrine.</w:t>
      </w:r>
    </w:p>
    <w:p>
      <w:pPr>
        <w:pStyle w:val="Normal"/>
        <w:rPr/>
      </w:pPr>
      <w:r>
        <w:rPr>
          <w:b/>
          <w:bCs/>
        </w:rPr>
        <w:t>Clause 7: Data location and subcontractors (M for Tier 2)</w:t>
      </w:r>
      <w:r>
        <w:rPr/>
        <w:t xml:space="preserve"> The Institution’s data will be stored, processed, and backed up only in the countries listed in Schedule [x], and accessed only by the Vendor personnel and the subcontractors listed in Schedule [x]. Changes to either list require [x] days’ advance written notice and, for the countries list and (for Tier 2 systems) the subcontractor list, the Institution’s written consent. The Vendor will impose the obligations of this contract on every subcontractor and remains fully responsible for their performance. </w:t>
      </w:r>
      <w:r>
        <w:rPr>
          <w:i/>
          <w:iCs/>
        </w:rPr>
        <w:t>What this protects you from:</w:t>
      </w:r>
      <w:r>
        <w:rPr/>
        <w:t xml:space="preserve"> your data migrating to jurisdictions, and into hands, you never evaluated; promises that stop at the vendor’s front door.</w:t>
      </w:r>
    </w:p>
    <w:p>
      <w:pPr>
        <w:pStyle w:val="Normal"/>
        <w:rPr/>
      </w:pPr>
      <w:r>
        <w:rPr>
          <w:b/>
          <w:bCs/>
        </w:rPr>
        <w:t>Clause 8: Security and breach notification (M)</w:t>
      </w:r>
      <w:r>
        <w:rPr/>
        <w:t xml:space="preserve"> The Vendor will maintain the security controls in Schedule [x] throughout the contract. The Vendor will notify the Institution of any security breach affecting the Institution’s data within [x] hours of discovery, with a written account of scope, cause, and remediation to follow within [x] days. </w:t>
      </w:r>
      <w:r>
        <w:rPr>
          <w:i/>
          <w:iCs/>
        </w:rPr>
        <w:t>What this protects you from:</w:t>
      </w:r>
      <w:r>
        <w:rPr/>
        <w:t xml:space="preserve"> learning about a breach after your own legal notification deadlines have already expired. Set the hours after checking your local breach notification law.</w:t>
      </w:r>
    </w:p>
    <w:p>
      <w:pPr>
        <w:pStyle w:val="Normal"/>
        <w:rPr/>
      </w:pPr>
      <w:r>
        <w:rPr>
          <w:b/>
          <w:bCs/>
        </w:rPr>
        <w:t>Clause 9: Product incident notification (R)</w:t>
      </w:r>
      <w:r>
        <w:rPr/>
        <w:t xml:space="preserve"> If the Vendor becomes aware of a material defect, error, or safety problem in the System or in the same product deployed elsewhere, it will notify the Institution within [x] days, with its assessment of relevance to the Institution’s deployment. </w:t>
      </w:r>
      <w:r>
        <w:rPr>
          <w:i/>
          <w:iCs/>
        </w:rPr>
        <w:t>What this protects you from:</w:t>
      </w:r>
      <w:r>
        <w:rPr/>
        <w:t xml:space="preserve"> being the last customer to learn what the vendor already knows.</w:t>
      </w:r>
    </w:p>
    <w:p>
      <w:pPr>
        <w:pStyle w:val="Normal"/>
        <w:rPr/>
      </w:pPr>
      <w:r>
        <w:rPr>
          <w:b/>
          <w:bCs/>
        </w:rPr>
        <w:t>Clause 10: Audit logging (M for Tier 2)</w:t>
      </w:r>
      <w:r>
        <w:rPr/>
        <w:t xml:space="preserve"> The System will log, at minimum: each input received, each output produced, the date and time, the model version, and the identity of the requesting user or process. Logs will be retained for [x] months, remain accessible to the Institution throughout, and be exportable by the Institution in the documented format in Schedule [x] at no additional charge. Logs will be protected against alteration, and any gap or edit in the log record is itself notifiable under Clause 8. </w:t>
      </w:r>
      <w:r>
        <w:rPr>
          <w:i/>
          <w:iCs/>
        </w:rPr>
        <w:t>What this protects you from:</w:t>
      </w:r>
      <w:r>
        <w:rPr/>
        <w:t xml:space="preserve"> being unable to answer an affected person, an auditor, or your own incident investigation, because the record of your system’s decisions belongs to someone else.</w:t>
      </w:r>
    </w:p>
    <w:p>
      <w:pPr>
        <w:pStyle w:val="Normal"/>
        <w:rPr/>
      </w:pPr>
      <w:r>
        <w:rPr>
          <w:b/>
          <w:bCs/>
        </w:rPr>
        <w:t>Clause 11: Termination triggers (R)</w:t>
      </w:r>
      <w:r>
        <w:rPr/>
        <w:t xml:space="preserve"> In addition to any other rights, the Institution may terminate this contract if: the System fails acceptance testing under Clause 2; the System fails the performance warranty under Clause 3; the Vendor applies a change in breach of Clause 5; the Vendor refuses or obstructs an audit under Clause 4; the Vendor materially breaches Clauses 6, 7, or 8; or the Vendor announces withdrawal or end of support of the System or of the model version relied on. Termination under this clause entitles the Institution to a refund of fees paid for undelivered or unusable periods. </w:t>
      </w:r>
      <w:r>
        <w:rPr>
          <w:i/>
          <w:iCs/>
        </w:rPr>
        <w:t>What this protects you from:</w:t>
      </w:r>
      <w:r>
        <w:rPr/>
        <w:t xml:space="preserve"> a contract where every exit requires proving “material breach” from a standing start, in a dispute, at your expense.</w:t>
      </w:r>
    </w:p>
    <w:p>
      <w:pPr>
        <w:pStyle w:val="Normal"/>
        <w:rPr/>
      </w:pPr>
      <w:r>
        <w:rPr>
          <w:b/>
          <w:bCs/>
        </w:rPr>
        <w:t>Clause 12: Exit and portability (M)</w:t>
      </w:r>
      <w:r>
        <w:rPr/>
        <w:t xml:space="preserve"> On termination or expiry for any reason, the Vendor will: (a) export and deliver to the Institution all Institution data, configurations, and audit logs, in the open, documented formats in Schedule [x], within [x] days, for the fixed fee in Schedule [x]; (b) provide transition assistance for [x] months at the rates in Schedule [x]; and (c) then permanently delete all Institution data from its systems and its subcontractors’ systems and certify the deletion in writing. The obligations in this clause survive termination and apply even while any dispute between the parties is unresolved. The export format will be validated during acceptance testing. Where the System is critical to continuing operations, the parties will record in Schedule [x] an escrow or continuity arrangement covering Vendor insolvency or withdrawal of the product. </w:t>
      </w:r>
      <w:r>
        <w:rPr>
          <w:i/>
          <w:iCs/>
        </w:rPr>
        <w:t>What this protects you from:</w:t>
      </w:r>
      <w:r>
        <w:rPr/>
        <w:t xml:space="preserve"> lock-in, which is the quiet tax on every renewal; and a vendor holding your data hostage during a dispute.</w:t>
      </w:r>
    </w:p>
    <w:p>
      <w:pPr>
        <w:pStyle w:val="Normal"/>
        <w:rPr/>
      </w:pPr>
      <w:r>
        <w:rPr>
          <w:b/>
          <w:bCs/>
        </w:rPr>
        <w:t>Clause 13: Intellectual property indemnity (M for generative systems)</w:t>
      </w:r>
      <w:r>
        <w:rPr/>
        <w:t xml:space="preserve"> The Vendor will defend and indemnify the Institution against third-party claims that the System, or output generated by the System when used as documented, infringes intellectual property rights, and will at its own cost secure the Institution’s right to continue use, modify the System to be non-infringing, or refund and assist exit under Clause 12. </w:t>
      </w:r>
      <w:r>
        <w:rPr>
          <w:i/>
          <w:iCs/>
        </w:rPr>
        <w:t>What this protects you from:</w:t>
      </w:r>
      <w:r>
        <w:rPr/>
        <w:t xml:space="preserve"> your institution answering for what the vendor’s training data contained.</w:t>
      </w:r>
    </w:p>
    <w:p>
      <w:pPr>
        <w:pStyle w:val="Normal"/>
        <w:rPr/>
      </w:pPr>
      <w:r>
        <w:rPr>
          <w:b/>
          <w:bCs/>
        </w:rPr>
        <w:t>Clause 14: Price protection and product continuity (R)</w:t>
      </w:r>
      <w:r>
        <w:rPr/>
        <w:t xml:space="preserve"> The Vendor’s charges for renewal terms will not increase by more than [x] percent per year, or by more than [named index], whichever is lower. The Vendor will give at least [x] months’ written notice before withdrawing, discontinuing, or ending support of the System or of the model version relied on, and throughout that notice period exit assistance under Clause 12 remains available at the rates in Schedule [x]. </w:t>
      </w:r>
      <w:r>
        <w:rPr>
          <w:i/>
          <w:iCs/>
        </w:rPr>
        <w:t>What this protects you from:</w:t>
      </w:r>
      <w:r>
        <w:rPr/>
        <w:t xml:space="preserve"> a dependency being repriced once switching has become expensive, and a product disappearing faster than you can leave it.</w:t>
      </w:r>
    </w:p>
    <w:p>
      <w:pPr>
        <w:pStyle w:val="Heading2"/>
        <w:rPr/>
      </w:pPr>
      <w:bookmarkStart w:id="44" w:name="references-for-this-module"/>
      <w:r>
        <w:rPr/>
        <w:t>References for this module</w:t>
      </w:r>
    </w:p>
    <w:p>
      <w:pPr>
        <w:pStyle w:val="ListParagraph"/>
        <w:numPr>
          <w:ilvl w:val="0"/>
          <w:numId w:val="24"/>
        </w:numPr>
        <w:rPr/>
      </w:pPr>
      <w:r>
        <w:rPr/>
        <w:t>Obermeyer, Z., Powers, B., Vogeli, C., and Mullainathan, S. “Dissecting Racial Bias in an Algorithm Used to Manage the Health of Populations.” Science, volume 366, issue 6464 (25 October 2019), pages 447 to 453. doi:10.1126/science.aax2342.</w:t>
      </w:r>
    </w:p>
    <w:p>
      <w:pPr>
        <w:pStyle w:val="ListParagraph"/>
        <w:numPr>
          <w:ilvl w:val="0"/>
          <w:numId w:val="25"/>
        </w:numPr>
        <w:rPr/>
      </w:pPr>
      <w:r>
        <w:rPr/>
        <w:t>Habib, A. R., Lin, A. L., and Grant, R. W. “The Epic Sepsis Model Falls Short: The Importance of External Validation.” JAMA Internal Medicine, volume 181, issue 8 (2021), pages 1040 to 1041. doi:10.1001/jamainternmed.2021.3333. (The editorial accompanying the Wong study; source of the developer-reported AUC range of 0.76 to 0.83.)</w:t>
      </w:r>
    </w:p>
    <w:p>
      <w:pPr>
        <w:pStyle w:val="ListParagraph"/>
        <w:numPr>
          <w:ilvl w:val="0"/>
          <w:numId w:val="26"/>
        </w:numPr>
        <w:spacing w:before="0" w:after="60"/>
        <w:rPr/>
      </w:pPr>
      <w:bookmarkStart w:id="45" w:name="Xf6a9fe21bdeb29a22c0bfd3a2548ff5f09a7e49"/>
      <w:bookmarkStart w:id="46" w:name="references-for-this-module"/>
      <w:r>
        <w:rPr/>
        <w:t>Wong, A., Otles, E., Donnelly, J. P., Krumm, A., McCullough, J., DeTroyer-Cooley, O., Pestrue, J., Phillips, M., Konye, J., Penoza, C., Ghous, M., and Singh, K. “External Validation of a Widely Implemented Proprietary Sepsis Prediction Model in Hospitalized Patients.” JAMA Internal Medicine, volume 181, issue 8 (2021), pages 1065 to 1070. doi:10.1001/jamainternmed.2021.2626.</w:t>
      </w:r>
      <w:bookmarkEnd w:id="45"/>
      <w:bookmarkEnd w:id="46"/>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304" w:right="1304" w:gutter="0" w:header="709" w:top="1418" w:footer="709" w:bottom="1418"/>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15</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15</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4">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5">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6">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2"/>
    <w:lvlOverride w:ilvl="0">
      <w:startOverride w:val="1"/>
    </w:lvlOverride>
  </w:num>
  <w:num w:numId="9">
    <w:abstractNumId w:val="2"/>
    <w:lvlOverride w:ilvl="0">
      <w:startOverride w:val="1"/>
    </w:lvlOverride>
  </w:num>
  <w:num w:numId="10">
    <w:abstractNumId w:val="2"/>
  </w:num>
  <w:num w:numId="11">
    <w:abstractNumId w:val="2"/>
  </w:num>
  <w:num w:numId="12">
    <w:abstractNumId w:val="2"/>
  </w:num>
  <w:num w:numId="13">
    <w:abstractNumId w:val="2"/>
    <w:lvlOverride w:ilvl="0">
      <w:startOverride w:val="1"/>
    </w:lvlOverride>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1"/>
  </w:num>
  <w:num w:numId="23">
    <w:abstractNumId w:val="1"/>
  </w:num>
  <w:num w:numId="24">
    <w:abstractNumId w:val="1"/>
  </w:num>
  <w:num w:numId="25">
    <w:abstractNumId w:val="1"/>
  </w:num>
  <w:num w:numId="26">
    <w:abstractNumId w:val="1"/>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en-GB" w:eastAsia="en-GB" w:bidi="ar-SA"/>
      </w:rPr>
    </w:rPrDefault>
    <w:pPrDefault>
      <w:pPr>
        <w:suppressAutoHyphens w:val="true"/>
      </w:pPr>
    </w:pPrDefault>
  </w:docDefaults>
  <w:style w:type="paragraph" w:styleId="Normal" w:default="1">
    <w:name w:val="Normal"/>
    <w:qFormat/>
    <w:pPr>
      <w:widowControl/>
      <w:bidi w:val="0"/>
      <w:spacing w:lineRule="auto" w:line="259" w:before="0" w:after="100"/>
      <w:jc w:val="left"/>
    </w:pPr>
    <w:rPr>
      <w:rFonts w:ascii="Calibri" w:hAnsi="Calibri" w:eastAsia="Calibri" w:cs="Calibri"/>
      <w:color w:val="1A1A1A"/>
      <w:kern w:val="0"/>
      <w:sz w:val="20"/>
      <w:szCs w:val="20"/>
      <w:lang w:val="en-GB" w:eastAsia="en-GB" w:bidi="ar-SA"/>
    </w:rPr>
  </w:style>
  <w:style w:type="paragraph" w:styleId="Heading1">
    <w:name w:val="Heading 1"/>
    <w:basedOn w:val="Normal"/>
    <w:next w:val="Normal"/>
    <w:uiPriority w:val="9"/>
    <w:qFormat/>
    <w:pPr>
      <w:keepNext w:val="true"/>
      <w:keepLines/>
      <w:spacing w:lineRule="auto" w:line="240" w:before="0" w:after="280"/>
      <w:outlineLvl w:val="0"/>
    </w:pPr>
    <w:rPr>
      <w:b/>
      <w:bCs/>
      <w:color w:val="1F3864"/>
      <w:sz w:val="40"/>
      <w:szCs w:val="40"/>
    </w:rPr>
  </w:style>
  <w:style w:type="paragraph" w:styleId="Heading2">
    <w:name w:val="Heading 2"/>
    <w:basedOn w:val="Normal"/>
    <w:next w:val="Normal"/>
    <w:uiPriority w:val="9"/>
    <w:qFormat/>
    <w:pPr>
      <w:keepNext w:val="true"/>
      <w:keepLines/>
      <w:spacing w:lineRule="auto" w:line="240" w:before="360" w:after="120"/>
      <w:outlineLvl w:val="1"/>
    </w:pPr>
    <w:rPr>
      <w:b/>
      <w:bCs/>
      <w:color w:val="1F3864"/>
      <w:sz w:val="28"/>
      <w:szCs w:val="28"/>
    </w:rPr>
  </w:style>
  <w:style w:type="paragraph" w:styleId="Heading3">
    <w:name w:val="Heading 3"/>
    <w:basedOn w:val="Normal"/>
    <w:next w:val="Normal"/>
    <w:uiPriority w:val="9"/>
    <w:qFormat/>
    <w:pPr>
      <w:keepNext w:val="true"/>
      <w:keepLines/>
      <w:spacing w:lineRule="auto" w:line="240" w:before="280" w:after="100"/>
      <w:outlineLvl w:val="2"/>
    </w:pPr>
    <w:rPr>
      <w:b/>
      <w:bCs/>
      <w:color w:val="1F3864"/>
      <w:sz w:val="24"/>
      <w:szCs w:val="24"/>
    </w:rPr>
  </w:style>
  <w:style w:type="character" w:styleId="DefaultParagraphFont" w:default="1">
    <w:name w:val="Default Paragraph Font"/>
    <w:uiPriority w:val="1"/>
    <w:semiHidden/>
    <w:unhideWhenUsed/>
    <w:qFormat/>
    <w:rPr/>
  </w:style>
  <w:style w:type="paragraph" w:styleId="ListParagraph">
    <w:name w:val="List Paragraph"/>
    <w:basedOn w:val="Normal"/>
    <w:uiPriority w:val="34"/>
    <w:qFormat/>
    <w:pPr>
      <w:spacing w:before="0" w:after="60"/>
      <w:ind w:left="720"/>
    </w:pPr>
    <w:rPr/>
  </w:style>
  <w:style w:type="paragraph" w:styleId="Boxtext" w:customStyle="1">
    <w:name w:val="Box text"/>
    <w:basedOn w:val="Normal"/>
    <w:qFormat/>
    <w:pPr>
      <w:pBdr>
        <w:left w:val="single" w:sz="18" w:space="8" w:color="1F3864"/>
      </w:pBdr>
      <w:shd w:val="clear" w:color="auto" w:fill="EEF2F7"/>
      <w:spacing w:before="60" w:after="60"/>
      <w:ind w:left="227" w:right="113"/>
    </w:pPr>
    <w:rPr/>
  </w:style>
  <w:style w:type="paragraph" w:styleId="Tabletext" w:customStyle="1">
    <w:name w:val="Table text"/>
    <w:basedOn w:val="Normal"/>
    <w:qFormat/>
    <w:pPr>
      <w:spacing w:lineRule="auto" w:line="240" w:before="20" w:after="20"/>
    </w:pPr>
    <w:rPr>
      <w:sz w:val="18"/>
      <w:szCs w:val="18"/>
    </w:rPr>
  </w:style>
  <w:style w:type="paragraph" w:styleId="Tableheader" w:customStyle="1">
    <w:name w:val="Table header"/>
    <w:basedOn w:val="Normal"/>
    <w:qFormat/>
    <w:pPr>
      <w:keepNext w:val="true"/>
      <w:spacing w:lineRule="auto" w:line="240" w:before="20" w:after="20"/>
    </w:pPr>
    <w:rPr>
      <w:b/>
      <w:bCs/>
      <w:sz w:val="18"/>
      <w:szCs w:val="18"/>
    </w:rPr>
  </w:style>
  <w:style w:type="paragraph" w:styleId="Header">
    <w:name w:val="Header"/>
    <w:basedOn w:val="Normal"/>
    <w:uiPriority w:val="99"/>
    <w:unhideWhenUsed/>
    <w:qFormat/>
    <w:pPr>
      <w:tabs>
        <w:tab w:val="clear" w:pos="720"/>
        <w:tab w:val="right" w:pos="9298" w:leader="none"/>
      </w:tabs>
      <w:spacing w:lineRule="auto" w:line="240" w:before="0" w:after="0"/>
    </w:pPr>
    <w:rPr>
      <w:color w:val="595959"/>
      <w:sz w:val="16"/>
      <w:szCs w:val="16"/>
    </w:rPr>
  </w:style>
  <w:style w:type="paragraph" w:styleId="Footer">
    <w:name w:val="Footer"/>
    <w:basedOn w:val="Normal"/>
    <w:uiPriority w:val="99"/>
    <w:unhideWhenUsed/>
    <w:qFormat/>
    <w:pPr>
      <w:spacing w:lineRule="auto" w:line="240" w:before="0" w:after="0"/>
      <w:jc w:val="center"/>
    </w:pPr>
    <w:rPr>
      <w:color w:val="595959"/>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FrameworkTable">
    <w:name w:val="Framework table"/>
    <w:basedOn w:val="TableNormal"/>
    <w:uiPriority w:val="59"/>
    <w:pPr>
      <w:spacing w:after="0" w:line="240" w:lineRule="auto"/>
    </w:pPr>
    <w:tblP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40" w:type="dxa"/>
        <w:left w:w="85" w:type="dxa"/>
        <w:bottom w:w="40" w:type="dxa"/>
        <w:right w:w="85"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15</Pages>
  <Words>8645</Words>
  <Characters>44771</Characters>
  <CharactersWithSpaces>53094</CharactersWithSpaces>
  <Paragraphs>295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2026-09-29T14:49:27Z</dcterms:created>
  <dc:creator>Yellow Sapphire Technologies Inc.</dc:creator>
  <dc:description>Version 1.0, 1 October 2026. Published by Yellow Sapphire Technologies Inc. under CC BY 4.0. doi:10.5281/zenodo.22986774</dc:description>
  <cp:keywords>AI governance, AI deployment, procurement, risk tiering, human oversight, data protection, monitoring</cp:keywords>
  <dc:language>en-GB</dc:language>
  <cp:lastModifiedBy>Yellow Sapphire Technologies Inc.</cp:lastModifiedBy>
  <dcterms:modified xsi:type="dcterms:W3CDTF">2026-09-29T14:49:27Z</dcterms:modified>
  <cp:revision>1</cp:revision>
  <dc:subject>An operating manual for institutions that buy, deploy, and run AI systems</dc:subject>
  <dc:title>Open AI Governance and Deployment Framework, Version 1.0. Module 4: Procurement and vendor accountability</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I">
    <vt:lpwstr>10.5281/zenodo.22986774</vt:lpwstr>
  </property>
  <property fmtid="{D5CDD505-2E9C-101B-9397-08002B2CF9AE}" pid="3" name="Language">
    <vt:lpwstr>en-GB</vt:lpwstr>
  </property>
  <property fmtid="{D5CDD505-2E9C-101B-9397-08002B2CF9AE}" pid="4" name="Licence">
    <vt:lpwstr>CC BY 4.0</vt:lpwstr>
  </property>
  <property fmtid="{D5CDD505-2E9C-101B-9397-08002B2CF9AE}" pid="5" name="Publication date">
    <vt:lpwstr>2026-10-01</vt:lpwstr>
  </property>
  <property fmtid="{D5CDD505-2E9C-101B-9397-08002B2CF9AE}" pid="6" name="Publisher">
    <vt:lpwstr>Yellow Sapphire Technologies Inc.</vt:lpwstr>
  </property>
  <property fmtid="{D5CDD505-2E9C-101B-9397-08002B2CF9AE}" pid="7" name="Version">
    <vt:lpwstr>1.0</vt:lpwstr>
  </property>
</Properties>
</file>