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X1966c01078a2138d7e50da2ef0f65f0ffc4018e"/>
      <w:r>
        <w:rPr/>
        <w:t>7.6 Pre-deployment readiness pack (gates G2 and G3)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The single cover document for the readiness gate (G2) and the go-live gate (G3), designed for the Independent Reviewer’s method (Module 3): every item claims a document, and the reviewer asks for each document. The pack is this cover sheet plus its attachments; an item without its attachment fails the gate. The full data checklist (7.6a, below) is attachment A.</w:t>
      </w:r>
    </w:p>
    <w:p>
      <w:pPr>
        <w:pStyle w:val="Normal"/>
        <w:rPr/>
      </w:pPr>
      <w:r>
        <w:rPr>
          <w:b/>
          <w:bCs/>
        </w:rPr>
        <w:t>System:</w:t>
      </w:r>
      <w:r>
        <w:rPr/>
        <w:t xml:space="preserve"> ______ </w:t>
      </w:r>
      <w:r>
        <w:rPr>
          <w:b/>
          <w:bCs/>
        </w:rPr>
        <w:t>Tier:</w:t>
      </w:r>
      <w:r>
        <w:rPr/>
        <w:t xml:space="preserve"> ______ </w:t>
      </w:r>
      <w:r>
        <w:rPr>
          <w:b/>
          <w:bCs/>
        </w:rPr>
        <w:t>Register row:</w:t>
      </w:r>
      <w:r>
        <w:rPr/>
        <w:t xml:space="preserve"> ______</w:t>
      </w:r>
    </w:p>
    <w:p>
      <w:pPr>
        <w:pStyle w:val="Normal"/>
        <w:keepNext w:val="true"/>
        <w:rPr/>
      </w:pPr>
      <w:r>
        <w:rPr>
          <w:b/>
          <w:bCs/>
        </w:rPr>
        <w:t>Gate G2: Readiness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350"/>
        <w:gridCol w:w="5773"/>
        <w:gridCol w:w="2544"/>
        <w:gridCol w:w="970"/>
      </w:tblGrid>
      <w:tr>
        <w:trPr>
          <w:tblHeader w:val="true"/>
          <w:cantSplit w:val="true"/>
        </w:trPr>
        <w:tc>
          <w:tcPr>
            <w:tcW w:w="350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5773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 claimed</w:t>
            </w:r>
          </w:p>
        </w:tc>
        <w:tc>
          <w:tcPr>
            <w:tcW w:w="2544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Attachment</w:t>
            </w:r>
          </w:p>
        </w:tc>
        <w:tc>
          <w:tcPr>
            <w:tcW w:w="970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Present</w:t>
            </w:r>
          </w:p>
        </w:tc>
      </w:tr>
      <w:tr>
        <w:trPr>
          <w:cantSplit w:val="true"/>
        </w:trPr>
        <w:tc>
          <w:tcPr>
            <w:tcW w:w="35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</w:t>
            </w:r>
          </w:p>
        </w:tc>
        <w:tc>
          <w:tcPr>
            <w:tcW w:w="577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Pre-deployment data checklist complete, local-advice lines signed where required</w:t>
            </w:r>
          </w:p>
        </w:tc>
        <w:tc>
          <w:tcPr>
            <w:tcW w:w="254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7.6a, completed</w:t>
            </w:r>
          </w:p>
        </w:tc>
        <w:tc>
          <w:tcPr>
            <w:tcW w:w="97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B</w:t>
            </w:r>
          </w:p>
        </w:tc>
        <w:tc>
          <w:tcPr>
            <w:tcW w:w="577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Acceptance criteria as fixed in the contract schedule (before testing)</w:t>
            </w:r>
          </w:p>
        </w:tc>
        <w:tc>
          <w:tcPr>
            <w:tcW w:w="254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Contract schedule extract</w:t>
            </w:r>
          </w:p>
        </w:tc>
        <w:tc>
          <w:tcPr>
            <w:tcW w:w="97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</w:t>
            </w:r>
          </w:p>
        </w:tc>
        <w:tc>
          <w:tcPr>
            <w:tcW w:w="577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Validation run and results against those criteria, subgroups included (Module 6.2)</w:t>
            </w:r>
          </w:p>
        </w:tc>
        <w:tc>
          <w:tcPr>
            <w:tcW w:w="254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Results record</w:t>
            </w:r>
          </w:p>
        </w:tc>
        <w:tc>
          <w:tcPr>
            <w:tcW w:w="97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</w:t>
            </w:r>
          </w:p>
        </w:tc>
        <w:tc>
          <w:tcPr>
            <w:tcW w:w="577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Comparison against current practice recorded</w:t>
            </w:r>
          </w:p>
        </w:tc>
        <w:tc>
          <w:tcPr>
            <w:tcW w:w="254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 results record</w:t>
            </w:r>
          </w:p>
        </w:tc>
        <w:tc>
          <w:tcPr>
            <w:tcW w:w="97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E</w:t>
            </w:r>
          </w:p>
        </w:tc>
        <w:tc>
          <w:tcPr>
            <w:tcW w:w="577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Frozen test set stored under Data Steward control, excluded from vendor training in writing</w:t>
            </w:r>
          </w:p>
        </w:tc>
        <w:tc>
          <w:tcPr>
            <w:tcW w:w="2544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Storage note and contract clause reference</w:t>
            </w:r>
          </w:p>
        </w:tc>
        <w:tc>
          <w:tcPr>
            <w:tcW w:w="97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</w:tbl>
    <w:p>
      <w:pPr>
        <w:pStyle w:val="Normal"/>
        <w:spacing w:before="160" w:after="100"/>
        <w:rPr/>
      </w:pPr>
      <w:r>
        <w:rPr/>
        <w:t>G2 signatures: Data Steward (item A) ______ Independent Reviewer (whole) ______ Date ______</w:t>
      </w:r>
    </w:p>
    <w:p>
      <w:pPr>
        <w:pStyle w:val="Normal"/>
        <w:keepNext w:val="true"/>
        <w:rPr/>
      </w:pPr>
      <w:r>
        <w:rPr>
          <w:b/>
          <w:bCs/>
        </w:rPr>
        <w:t>Gate G3: Go-live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358"/>
        <w:gridCol w:w="5979"/>
        <w:gridCol w:w="2321"/>
        <w:gridCol w:w="979"/>
      </w:tblGrid>
      <w:tr>
        <w:trPr>
          <w:tblHeader w:val="true"/>
          <w:cantSplit w:val="true"/>
        </w:trPr>
        <w:tc>
          <w:tcPr>
            <w:tcW w:w="35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#</w:t>
            </w:r>
          </w:p>
        </w:tc>
        <w:tc>
          <w:tcPr>
            <w:tcW w:w="5979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Item claimed</w:t>
            </w:r>
          </w:p>
        </w:tc>
        <w:tc>
          <w:tcPr>
            <w:tcW w:w="2321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Attachment</w:t>
            </w:r>
          </w:p>
        </w:tc>
        <w:tc>
          <w:tcPr>
            <w:tcW w:w="979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Present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Shadow mode completed to its minimums; baselines captured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Shadow report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G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Pilot completed against written scope and stop criteria, decision recorded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Pilot paragraph and decision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H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Oversight design one-pager: authority, capacity (minutes per case from shadow), information, consequence (Module 3.4)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One-pager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Reviewers trained on the limitations statement and validation failures; records kept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Training record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J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Monitoring plan complete: every row a name and two thresholds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7.8, completed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K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Appeal channel live; notice published where decisions land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7.9 as published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L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Incident template staged; severity definitions aligned with the contract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7.10, blank but configured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  <w:tr>
        <w:trPr>
          <w:cantSplit w:val="true"/>
        </w:trPr>
        <w:tc>
          <w:tcPr>
            <w:tcW w:w="35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</w:t>
            </w:r>
          </w:p>
        </w:tc>
        <w:tc>
          <w:tcPr>
            <w:tcW w:w="5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Register row updated: version, dates, roles</w:t>
            </w:r>
          </w:p>
        </w:tc>
        <w:tc>
          <w:tcPr>
            <w:tcW w:w="2321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7.11 extract</w:t>
            </w:r>
          </w:p>
        </w:tc>
        <w:tc>
          <w:tcPr>
            <w:tcW w:w="979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☐</w:t>
            </w:r>
          </w:p>
        </w:tc>
      </w:tr>
    </w:tbl>
    <w:p>
      <w:pPr>
        <w:pStyle w:val="Normal"/>
        <w:spacing w:before="160" w:after="100"/>
        <w:rPr/>
      </w:pPr>
      <w:bookmarkStart w:id="1" w:name="X1966c01078a2138d7e50da2ef0f65f0ffc4018e"/>
      <w:r>
        <w:rPr/>
        <w:t>G3 signatures: System Owner ______ Independent Reviewer ______ Date ______</w:t>
      </w:r>
      <w:bookmarkEnd w:id="1"/>
    </w:p>
    <w:p>
      <w:pPr>
        <w:pStyle w:val="Heading1"/>
        <w:pageBreakBefore/>
        <w:rPr/>
      </w:pPr>
      <w:bookmarkStart w:id="2" w:name="Xe134291c4aa99cf3e826d3669b12a37a3e1b640"/>
      <w:r>
        <w:rPr/>
        <w:t>7.6a Pre-deployment data checklist (from Module 5, attachment A to the readiness pack)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Completed and signed by the Data Steward before the readiness gate (G2, Module 3); an incomplete checklist blocks the gate. It is an operating tool and it is not legal advice; items marked “local advice” require answers from a person qualified in your jurisdiction, and their name and date go on the line.</w:t>
      </w:r>
    </w:p>
    <w:p>
      <w:pPr>
        <w:pStyle w:val="Normal"/>
        <w:keepNext w:val="true"/>
        <w:rPr/>
      </w:pPr>
      <w:r>
        <w:rPr>
          <w:b/>
          <w:bCs/>
        </w:rPr>
        <w:t>System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00" w:noHBand="0" w:noVBand="0" w:firstColumn="0" w:lastRow="0" w:lastColumn="0" w:firstRow="0"/>
      </w:tblPr>
      <w:tblGrid>
        <w:gridCol w:w="8085"/>
        <w:gridCol w:w="1552"/>
      </w:tblGrid>
      <w:tr>
        <w:trPr>
          <w:cantSplit w:val="true"/>
        </w:trPr>
        <w:tc>
          <w:tcPr>
            <w:tcW w:w="808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System and vendor</w:t>
            </w:r>
          </w:p>
        </w:tc>
        <w:tc>
          <w:tcPr>
            <w:tcW w:w="155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808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Risk tier (attach the Module 2 worksheet)</w:t>
            </w:r>
          </w:p>
        </w:tc>
        <w:tc>
          <w:tcPr>
            <w:tcW w:w="155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808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Vendor data specification received (Module 4.2.1)</w:t>
            </w:r>
          </w:p>
        </w:tc>
        <w:tc>
          <w:tcPr>
            <w:tcW w:w="155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 xml:space="preserve">☐ </w:t>
            </w:r>
            <w:r>
              <w:rPr>
                <w:rFonts w:eastAsia="Calibri" w:cs="Calibri"/>
                <w:kern w:val="0"/>
                <w:lang w:val="en-GB" w:eastAsia="en-GB" w:bidi="ar-SA"/>
              </w:rPr>
              <w:t>attached</w:t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A: Inventory.</w:t>
      </w:r>
      <w:r>
        <w:rPr/>
        <w:t xml:space="preserve"> One row per field or field group leaving the institution. Attach continuation sheets as needed.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1927"/>
        <w:gridCol w:w="1928"/>
        <w:gridCol w:w="1925"/>
        <w:gridCol w:w="1928"/>
        <w:gridCol w:w="1930"/>
      </w:tblGrid>
      <w:tr>
        <w:trPr>
          <w:tblHeader w:val="true"/>
          <w:cantSplit w:val="true"/>
        </w:trPr>
        <w:tc>
          <w:tcPr>
            <w:tcW w:w="1927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Field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Sensitivity class (5.2)</w:t>
            </w:r>
          </w:p>
        </w:tc>
        <w:tc>
          <w:tcPr>
            <w:tcW w:w="1925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Needed for function? (vendor’s written answer)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Withheld instead?</w:t>
            </w:r>
          </w:p>
        </w:tc>
        <w:tc>
          <w:tcPr>
            <w:tcW w:w="1930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Regulator, if regulated data</w:t>
            </w:r>
          </w:p>
        </w:tc>
      </w:tr>
      <w:tr>
        <w:trPr>
          <w:cantSplit w:val="true"/>
        </w:trPr>
        <w:tc>
          <w:tcPr>
            <w:tcW w:w="192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3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192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3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keepNext w:val="true"/>
        <w:spacing w:before="160" w:after="100"/>
        <w:rPr/>
      </w:pPr>
      <w:r>
        <w:rPr>
          <w:b/>
          <w:bCs/>
        </w:rPr>
        <w:t>Section A2: Unstructured sources</w:t>
      </w:r>
      <w:r>
        <w:rPr/>
        <w:t xml:space="preserve"> (generative deployments; one row per source)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1927"/>
        <w:gridCol w:w="1928"/>
        <w:gridCol w:w="1925"/>
        <w:gridCol w:w="1928"/>
        <w:gridCol w:w="1930"/>
      </w:tblGrid>
      <w:tr>
        <w:trPr>
          <w:tblHeader w:val="true"/>
          <w:cantSplit w:val="true"/>
        </w:trPr>
        <w:tc>
          <w:tcPr>
            <w:tcW w:w="1927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Source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Worst sensitivity class realistically inside</w:t>
            </w:r>
          </w:p>
        </w:tc>
        <w:tc>
          <w:tcPr>
            <w:tcW w:w="1925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Scrubbing or redaction control, verified on a sample by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Needed for function?</w:t>
            </w:r>
          </w:p>
        </w:tc>
        <w:tc>
          <w:tcPr>
            <w:tcW w:w="1930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Derived stores (embeddings, caches, memory) covered by location, retention, deletion answers?</w:t>
            </w:r>
          </w:p>
        </w:tc>
      </w:tr>
      <w:tr>
        <w:trPr>
          <w:cantSplit w:val="true"/>
        </w:trPr>
        <w:tc>
          <w:tcPr>
            <w:tcW w:w="1927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5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3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b/>
          <w:bCs/>
        </w:rPr>
        <w:t>Section B: Lawful basis (local advice for Tier 2 and any sensitive personal data)</w:t>
      </w:r>
    </w:p>
    <w:p>
      <w:pPr>
        <w:pStyle w:val="Checklistitem"/>
        <w:rPr/>
      </w:pPr>
      <w:r>
        <w:rPr/>
        <w:t>☐</w:t>
      </w:r>
      <w:r>
        <w:rPr/>
        <w:tab/>
        <w:t>Legal basis for this use identified and recorded: ____________</w:t>
      </w:r>
    </w:p>
    <w:p>
      <w:pPr>
        <w:pStyle w:val="Checklistitem"/>
        <w:rPr/>
      </w:pPr>
      <w:r>
        <w:rPr/>
        <w:t>☐</w:t>
      </w:r>
      <w:r>
        <w:rPr/>
        <w:tab/>
        <w:t>Purpose compared with collection purpose; notice or consent steps identified: ____________</w:t>
      </w:r>
    </w:p>
    <w:p>
      <w:pPr>
        <w:pStyle w:val="Checklistitem"/>
        <w:rPr/>
      </w:pPr>
      <w:r>
        <w:rPr/>
        <w:t>☐</w:t>
      </w:r>
      <w:r>
        <w:rPr/>
        <w:tab/>
        <w:t>People in the data informed, where required; how: ____________</w:t>
      </w:r>
    </w:p>
    <w:p>
      <w:pPr>
        <w:pStyle w:val="Checklistitem"/>
        <w:rPr/>
      </w:pPr>
      <w:r>
        <w:rPr/>
        <w:t>☐</w:t>
      </w:r>
      <w:r>
        <w:rPr/>
        <w:tab/>
        <w:t>Formal risk or impact assessment required? ☐ No ☐ Yes → completed and attached</w:t>
      </w:r>
    </w:p>
    <w:p>
      <w:pPr>
        <w:pStyle w:val="ListParagraph"/>
        <w:numPr>
          <w:ilvl w:val="0"/>
          <w:numId w:val="1"/>
        </w:numPr>
        <w:rPr/>
      </w:pPr>
      <w:r>
        <w:rPr/>
        <w:t>Local advice by (name, qualification, date): ____________</w:t>
      </w:r>
    </w:p>
    <w:p>
      <w:pPr>
        <w:pStyle w:val="Normal"/>
        <w:rPr/>
      </w:pPr>
      <w:r>
        <w:rPr>
          <w:b/>
          <w:bCs/>
        </w:rPr>
        <w:t>Section C: Location and access</w:t>
      </w:r>
    </w:p>
    <w:p>
      <w:pPr>
        <w:pStyle w:val="Checklistitem"/>
        <w:rPr/>
      </w:pPr>
      <w:r>
        <w:rPr/>
        <w:t>☐</w:t>
      </w:r>
      <w:r>
        <w:rPr/>
        <w:tab/>
        <w:t>Storage countries, in the contract schedule: ____________</w:t>
      </w:r>
    </w:p>
    <w:p>
      <w:pPr>
        <w:pStyle w:val="Checklistitem"/>
        <w:rPr/>
      </w:pPr>
      <w:r>
        <w:rPr/>
        <w:t>☐</w:t>
      </w:r>
      <w:r>
        <w:rPr/>
        <w:tab/>
        <w:t>Processing countries: ____________ Backup countries: ____________</w:t>
      </w:r>
    </w:p>
    <w:p>
      <w:pPr>
        <w:pStyle w:val="Checklistitem"/>
        <w:rPr/>
      </w:pPr>
      <w:r>
        <w:rPr/>
        <w:t>☐</w:t>
      </w:r>
      <w:r>
        <w:rPr/>
        <w:tab/>
        <w:t>Countries from which vendor or subcontractor staff can access: ____________</w:t>
      </w:r>
    </w:p>
    <w:p>
      <w:pPr>
        <w:pStyle w:val="Checklistitem"/>
        <w:rPr/>
      </w:pPr>
      <w:r>
        <w:rPr/>
        <w:t>☐</w:t>
      </w:r>
      <w:r>
        <w:rPr/>
        <w:tab/>
        <w:t>Transfer restrictions checked locally; instrument named: ____________</w:t>
      </w:r>
    </w:p>
    <w:p>
      <w:pPr>
        <w:pStyle w:val="Checklistitem"/>
        <w:rPr/>
      </w:pPr>
      <w:r>
        <w:rPr/>
        <w:t>☐</w:t>
      </w:r>
      <w:r>
        <w:rPr/>
        <w:tab/>
        <w:t>Region setting configured and recorded, where the product offers one</w:t>
      </w:r>
    </w:p>
    <w:p>
      <w:pPr>
        <w:pStyle w:val="Checklistitem"/>
        <w:rPr/>
      </w:pPr>
      <w:r>
        <w:rPr/>
        <w:t>☐</w:t>
      </w:r>
      <w:r>
        <w:rPr/>
        <w:tab/>
        <w:t>Governing law of vendor and compelled-disclosure question put in writing to vendor and adviser; answers filed</w:t>
      </w:r>
    </w:p>
    <w:p>
      <w:pPr>
        <w:pStyle w:val="Normal"/>
        <w:rPr/>
      </w:pPr>
      <w:r>
        <w:rPr>
          <w:b/>
          <w:bCs/>
        </w:rPr>
        <w:t>Section D: AI-specific security (5.4)</w:t>
      </w:r>
    </w:p>
    <w:p>
      <w:pPr>
        <w:pStyle w:val="Checklistitem"/>
        <w:rPr/>
      </w:pPr>
      <w:r>
        <w:rPr/>
        <w:t>☐</w:t>
      </w:r>
      <w:r>
        <w:rPr/>
        <w:tab/>
        <w:t>Named-account access only; access list at go-live filed; quarterly review scheduled</w:t>
      </w:r>
    </w:p>
    <w:p>
      <w:pPr>
        <w:pStyle w:val="Checklistitem"/>
        <w:rPr/>
      </w:pPr>
      <w:r>
        <w:rPr/>
        <w:t>☐</w:t>
      </w:r>
      <w:r>
        <w:rPr/>
        <w:tab/>
        <w:t>Injection testing evidence received (systems reading untrusted text); independent security test commissioned for public-facing systems (name, date): ____________</w:t>
      </w:r>
    </w:p>
    <w:p>
      <w:pPr>
        <w:pStyle w:val="Checklistitem"/>
        <w:rPr/>
      </w:pPr>
      <w:r>
        <w:rPr/>
        <w:t>☐</w:t>
      </w:r>
      <w:r>
        <w:rPr/>
        <w:tab/>
        <w:t>Training use of our data: excluded in writing, or separately agreed with leadership signature attached</w:t>
      </w:r>
    </w:p>
    <w:p>
      <w:pPr>
        <w:pStyle w:val="Checklistitem"/>
        <w:rPr/>
      </w:pPr>
      <w:r>
        <w:rPr/>
        <w:t>☐</w:t>
      </w:r>
      <w:r>
        <w:rPr/>
        <w:tab/>
        <w:t>Session and customer separation described by vendor in writing; canary test planned for validation</w:t>
      </w:r>
    </w:p>
    <w:p>
      <w:pPr>
        <w:pStyle w:val="Checklistitem"/>
        <w:rPr/>
      </w:pPr>
      <w:r>
        <w:rPr/>
        <w:t>☐</w:t>
      </w:r>
      <w:r>
        <w:rPr/>
        <w:tab/>
        <w:t>Vendor access bounded in contract; access log review scheduled into annual audit</w:t>
      </w:r>
    </w:p>
    <w:p>
      <w:pPr>
        <w:pStyle w:val="Checklistitem"/>
        <w:rPr/>
      </w:pPr>
      <w:r>
        <w:rPr/>
        <w:t>☐</w:t>
      </w:r>
      <w:r>
        <w:rPr/>
        <w:tab/>
        <w:t>Log export confirmed; monthly query-volume review by the Operational Lead</w:t>
      </w:r>
    </w:p>
    <w:p>
      <w:pPr>
        <w:pStyle w:val="Checklistitem"/>
        <w:rPr/>
      </w:pPr>
      <w:r>
        <w:rPr/>
        <w:t>☐</w:t>
      </w:r>
      <w:r>
        <w:rPr/>
        <w:tab/>
        <w:t>Decision systems: influential-inputs statement received and gaming metric added to the monitoring plan</w:t>
      </w:r>
    </w:p>
    <w:p>
      <w:pPr>
        <w:pStyle w:val="Normal"/>
        <w:rPr/>
      </w:pPr>
      <w:r>
        <w:rPr>
          <w:b/>
          <w:bCs/>
        </w:rPr>
        <w:t>Section E: Minimisation and retention</w:t>
      </w:r>
    </w:p>
    <w:p>
      <w:pPr>
        <w:pStyle w:val="Checklistitem"/>
        <w:rPr/>
      </w:pPr>
      <w:r>
        <w:rPr/>
        <w:t>☐</w:t>
      </w:r>
      <w:r>
        <w:rPr/>
        <w:tab/>
        <w:t>Field set reduced to the vendor specification’s justified minimum; withholdings recorded in Section A</w:t>
      </w:r>
    </w:p>
    <w:p>
      <w:pPr>
        <w:pStyle w:val="Checklistitem"/>
        <w:rPr/>
      </w:pPr>
      <w:r>
        <w:rPr/>
        <w:t>☐</w:t>
      </w:r>
      <w:r>
        <w:rPr/>
        <w:tab/>
        <w:t>Any “anonymised” or “aggregated” claim: method in writing, taken to local advice where sensitive</w:t>
      </w:r>
    </w:p>
    <w:p>
      <w:pPr>
        <w:pStyle w:val="Checklistitem"/>
        <w:rPr/>
      </w:pPr>
      <w:r>
        <w:rPr/>
        <w:t>☐</w:t>
      </w:r>
      <w:r>
        <w:rPr/>
        <w:tab/>
        <w:t>Retention, as dates, per flow, in the contract schedule: ____________</w:t>
      </w:r>
    </w:p>
    <w:p>
      <w:pPr>
        <w:pStyle w:val="Checklistitem"/>
        <w:rPr/>
      </w:pPr>
      <w:r>
        <w:rPr/>
        <w:t>☐</w:t>
      </w:r>
      <w:r>
        <w:rPr/>
        <w:tab/>
        <w:t>Deletion or return at end, with written certification, per Module 4 Clause 12</w:t>
      </w:r>
    </w:p>
    <w:p>
      <w:pPr>
        <w:pStyle w:val="Normal"/>
        <w:rPr/>
      </w:pPr>
      <w:r>
        <w:rPr>
          <w:b/>
          <w:bCs/>
        </w:rPr>
        <w:t>Section F: Special categories (5.6), where applicable</w:t>
      </w:r>
    </w:p>
    <w:p>
      <w:pPr>
        <w:pStyle w:val="Checklistitem"/>
        <w:rPr/>
      </w:pPr>
      <w:r>
        <w:rPr/>
        <w:t>☐</w:t>
      </w:r>
      <w:r>
        <w:rPr/>
        <w:tab/>
        <w:t>Health data: regulator guidance identified; approvals or ethics review obtained where required</w:t>
      </w:r>
    </w:p>
    <w:p>
      <w:pPr>
        <w:pStyle w:val="Checklistitem"/>
        <w:rPr/>
      </w:pPr>
      <w:r>
        <w:rPr/>
        <w:t>☐</w:t>
      </w:r>
      <w:r>
        <w:rPr/>
        <w:tab/>
        <w:t>Children’s data: lawful basis answered by local advice; vendor experience recorded in due diligence</w:t>
      </w:r>
    </w:p>
    <w:p>
      <w:pPr>
        <w:pStyle w:val="Checklistitem"/>
        <w:rPr/>
      </w:pPr>
      <w:r>
        <w:rPr/>
        <w:t>☐</w:t>
      </w:r>
      <w:r>
        <w:rPr/>
        <w:tab/>
        <w:t>Financial data: supervisor’s outsourcing and cloud rules mapped; notifications or approvals done</w:t>
      </w:r>
    </w:p>
    <w:p>
      <w:pPr>
        <w:pStyle w:val="Checklistitem"/>
        <w:rPr/>
      </w:pPr>
      <w:r>
        <w:rPr/>
        <w:t>☐</w:t>
      </w:r>
      <w:r>
        <w:rPr/>
        <w:tab/>
        <w:t>Government administrative data: statutory confidentiality checked; in-country or on-premises default applied or departure justified in writing</w:t>
      </w:r>
    </w:p>
    <w:p>
      <w:pPr>
        <w:pStyle w:val="Normal"/>
        <w:keepNext w:val="true"/>
        <w:rPr/>
      </w:pPr>
      <w:r>
        <w:rPr>
          <w:b/>
          <w:bCs/>
        </w:rPr>
        <w:t>Sign-off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4378"/>
        <w:gridCol w:w="1928"/>
        <w:gridCol w:w="1403"/>
        <w:gridCol w:w="1928"/>
      </w:tblGrid>
      <w:tr>
        <w:trPr>
          <w:tblHeader w:val="true"/>
          <w:cantSplit w:val="true"/>
        </w:trPr>
        <w:tc>
          <w:tcPr>
            <w:tcW w:w="437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Name</w:t>
            </w:r>
          </w:p>
        </w:tc>
        <w:tc>
          <w:tcPr>
            <w:tcW w:w="1403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Role</w:t>
            </w:r>
          </w:p>
        </w:tc>
        <w:tc>
          <w:tcPr>
            <w:tcW w:w="1928" w:type="dxa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Date</w:t>
            </w:r>
          </w:p>
        </w:tc>
      </w:tr>
      <w:tr>
        <w:trPr>
          <w:cantSplit w:val="true"/>
        </w:trPr>
        <w:tc>
          <w:tcPr>
            <w:tcW w:w="437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Completed and signed</w:t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40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Data Steward</w:t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437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Local advice items confirmed (where applicable)</w:t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40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92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>
          <w:i/>
          <w:iCs/>
        </w:rPr>
        <w:t>File with the G2 gate record in the system register (Module 7).</w:t>
      </w:r>
    </w:p>
    <w:p>
      <w:pPr>
        <w:pStyle w:val="Normal"/>
        <w:widowControl/>
        <w:bidi w:val="0"/>
        <w:spacing w:lineRule="auto" w:line="259" w:before="0" w:after="100"/>
        <w:jc w:val="left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2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48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440" w:hanging="48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2160" w:hanging="48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48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3600" w:hanging="48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4320" w:hanging="48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48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5760" w:hanging="48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6480" w:hanging="48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ListParagraph">
    <w:name w:val="List Paragraph"/>
    <w:basedOn w:val="Normal"/>
    <w:uiPriority w:val="34"/>
    <w:qFormat/>
    <w:pPr>
      <w:spacing w:before="0" w:after="60"/>
      <w:ind w:left="720"/>
    </w:pPr>
    <w:rPr/>
  </w:style>
  <w:style w:type="paragraph" w:styleId="Checklistitem" w:customStyle="1">
    <w:name w:val="Checklist item"/>
    <w:basedOn w:val="Normal"/>
    <w:qFormat/>
    <w:pPr>
      <w:tabs>
        <w:tab w:val="clear" w:pos="720"/>
        <w:tab w:val="left" w:pos="340" w:leader="none"/>
      </w:tabs>
      <w:spacing w:lineRule="exact" w:line="264" w:before="0" w:after="60"/>
      <w:ind w:hanging="340" w:left="340"/>
    </w:pPr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Tabletext" w:customStyle="1">
    <w:name w:val="Table text"/>
    <w:basedOn w:val="Normal"/>
    <w:qFormat/>
    <w:pPr>
      <w:spacing w:lineRule="auto" w:line="240" w:before="20" w:after="20"/>
    </w:pPr>
    <w:rPr>
      <w:sz w:val="18"/>
      <w:szCs w:val="18"/>
    </w:rPr>
  </w:style>
  <w:style w:type="paragraph" w:styleId="Tableheader" w:customStyle="1">
    <w:name w:val="Table header"/>
    <w:basedOn w:val="Normal"/>
    <w:qFormat/>
    <w:pPr>
      <w:keepNext w:val="true"/>
      <w:spacing w:lineRule="auto" w:line="240" w:before="20" w:after="20"/>
    </w:pPr>
    <w:rPr>
      <w:b/>
      <w:bCs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rameworkTable">
    <w:name w:val="Framework table"/>
    <w:basedOn w:val="TableNormal"/>
    <w:uiPriority w:val="59"/>
    <w:pPr>
      <w:spacing w:after="0" w:line="240" w:lineRule="auto"/>
    </w:pPr>
    <w:tblPr>
      <w:tblBorders>
        <w:top w:val="single" w:color="A6A6A6" w:sz="4" w:space="0"/>
        <w:left w:val="single" w:color="A6A6A6" w:sz="4" w:space="0"/>
        <w:bottom w:val="single" w:color="A6A6A6" w:sz="4" w:space="0"/>
        <w:right w:val="single" w:color="A6A6A6" w:sz="4" w:space="0"/>
        <w:insideH w:val="single" w:color="A6A6A6" w:sz="4" w:space="0"/>
        <w:insideV w:val="single" w:color="A6A6A6" w:sz="4" w:space="0"/>
      </w:tblBorders>
      <w:tblCellMar>
        <w:top w:w="40" w:type="dxa"/>
        <w:left w:w="85" w:type="dxa"/>
        <w:bottom w:w="40" w:type="dxa"/>
        <w:right w:w="8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3</Pages>
  <Words>914</Words>
  <Characters>5355</Characters>
  <CharactersWithSpaces>6140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2026-09-29T14:49:35Z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2026-09-29T14:49:35Z</dcterms:modified>
  <cp:revision>1</cp:revision>
  <dc:subject>An operating manual for institutions that buy, deploy, and run AI systems</dc:subject>
  <dc:title>Open AI Governance and Deployment Framework, Version 1.0. 7.6 Pre-deployment readiness pack (gates G2 and G3)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