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bookmarkStart w:id="0" w:name="module-1-foundations"/>
      <w:r>
        <w:rPr/>
        <w:t>Module 1: Foundations</w:t>
      </w:r>
    </w:p>
    <w:p>
      <w:pPr>
        <w:pStyle w:val="Normal"/>
        <w:rPr/>
      </w:pPr>
      <w:r>
        <w:rPr/>
        <w:t>You have been handed responsibility for AI systems, along with governance material written for the companies that build them. This module gives you the map for your seat: what this framework covers, the five commitments it runs on, how it maps to the recognised standards, and a statement of what it will not do for you.</w:t>
      </w:r>
    </w:p>
    <w:p>
      <w:pPr>
        <w:pStyle w:val="Normal"/>
        <w:rPr/>
      </w:pPr>
      <w:r>
        <w:rPr/>
        <w:t>It is the shortest module in the framework and it is the on-ramp, a quick fifteen-minute read. If a purchase is live right now, go to Module 2 to set the risk tier, then Module 4 for the procurement work, and come back here later.</w:t>
      </w:r>
    </w:p>
    <w:p>
      <w:pPr>
        <w:pStyle w:val="Heading2"/>
        <w:rPr/>
      </w:pPr>
      <w:bookmarkStart w:id="1" w:name="the-deployers-seat"/>
      <w:r>
        <w:rPr/>
        <w:t>1.1 The deployer’s seat</w:t>
      </w:r>
    </w:p>
    <w:p>
      <w:pPr>
        <w:pStyle w:val="Normal"/>
        <w:rPr/>
      </w:pPr>
      <w:r>
        <w:rPr/>
        <w:t>A vendor has demonstrated a system to your leadership: a tool that scores loan applications, or flags patients for follow-up, or drafts responses to citizens. Leadership is interested. Procurement has a deadline. Someone senior has asked you to “make sure the governance side is covered,” and the material you find when you look is written for a different reader: it addresses the companies that train models, with their evaluation teams, safety researchers, and compliance departments. You have an IT team at capacity and a tender to issue by the end of the month.</w:t>
      </w:r>
    </w:p>
    <w:p>
      <w:pPr>
        <w:pStyle w:val="Normal"/>
        <w:rPr/>
      </w:pPr>
      <w:r>
        <w:rPr/>
        <w:t>This framework is written for your seat.</w:t>
      </w:r>
    </w:p>
    <w:p>
      <w:pPr>
        <w:pStyle w:val="Normal"/>
        <w:rPr/>
      </w:pPr>
      <w:r>
        <w:rPr/>
        <w:t>A company builds a system that predicts which hospital patients need extra care. The builder’s obligations run to the system itself: assemble the training data, test the model, document its accuracy, write the instructions. A hospital then buys that system and turns it on. From that moment a second set of obligations exists, and they belong to the hospital alone, because only the hospital can perform them:</w:t>
      </w:r>
    </w:p>
    <w:p>
      <w:pPr>
        <w:pStyle w:val="ListParagraph"/>
        <w:numPr>
          <w:ilvl w:val="0"/>
          <w:numId w:val="1"/>
        </w:numPr>
        <w:rPr/>
      </w:pPr>
      <w:r>
        <w:rPr/>
        <w:t>Deciding whether this use, on these patients, is high stakes (Module 2).</w:t>
      </w:r>
    </w:p>
    <w:p>
      <w:pPr>
        <w:pStyle w:val="ListParagraph"/>
        <w:numPr>
          <w:ilvl w:val="0"/>
          <w:numId w:val="1"/>
        </w:numPr>
        <w:rPr/>
      </w:pPr>
      <w:r>
        <w:rPr/>
        <w:t>Naming the person accountable when the system is wrong, and the person with authority to switch it off (Module 3).</w:t>
      </w:r>
    </w:p>
    <w:p>
      <w:pPr>
        <w:pStyle w:val="ListParagraph"/>
        <w:numPr>
          <w:ilvl w:val="0"/>
          <w:numId w:val="1"/>
        </w:numPr>
        <w:rPr/>
      </w:pPr>
      <w:r>
        <w:rPr/>
        <w:t>Extracting the evidence, the contract terms, and the exit rights from the vendor before signing (Module 4).</w:t>
      </w:r>
    </w:p>
    <w:p>
      <w:pPr>
        <w:pStyle w:val="ListParagraph"/>
        <w:numPr>
          <w:ilvl w:val="0"/>
          <w:numId w:val="1"/>
        </w:numPr>
        <w:rPr/>
      </w:pPr>
      <w:r>
        <w:rPr/>
        <w:t>Settling what patient data leaves the building, to which country, under whose control (Module 5).</w:t>
      </w:r>
    </w:p>
    <w:p>
      <w:pPr>
        <w:pStyle w:val="ListParagraph"/>
        <w:numPr>
          <w:ilvl w:val="0"/>
          <w:numId w:val="1"/>
        </w:numPr>
        <w:rPr/>
      </w:pPr>
      <w:r>
        <w:rPr/>
        <w:t>Testing the system on the hospital’s own patients before relying on it, watching it in service, and hearing the patient who says the decision was wrong (Module 6).</w:t>
      </w:r>
    </w:p>
    <w:p>
      <w:pPr>
        <w:pStyle w:val="Normal"/>
        <w:rPr/>
      </w:pPr>
      <w:r>
        <w:rPr/>
        <w:t>Nearly all published governance material addresses the builder’s list. The pattern is visible in the instruments themselves: most of the EU AI Act’s obligations attach to providers of systems. This framework addresses the second list. It is an operating manual for institutions that buy, deploy, and run AI systems: hospitals, ministries, utilities, banks, schools, municipalities, and enterprises. It assumes you have no AI specialists.</w:t>
      </w:r>
    </w:p>
    <w:p>
      <w:pPr>
        <w:pStyle w:val="Normal"/>
        <w:rPr/>
      </w:pPr>
      <w:r>
        <w:rPr>
          <w:b/>
          <w:bCs/>
        </w:rPr>
        <w:t>Scope.</w:t>
      </w:r>
      <w:r>
        <w:rPr/>
        <w:t xml:space="preserve"> The framework covers acquired systems of both kinds: predictive systems, which score, rank, classify, or forecast; and generative systems, which produce text, images, or code, including chat assistants and drafting tools. It governs the buying and the running. Systems authorised to act on their own (agentic systems: executing transactions, sending messages, changing records without a human touching each action) are inside scope and are handled through Module 2’s autonomy rules, which treat an adverse action taken without prior human review as a matter for escalation. If your institution builds or fine-tunes its own models, you hold both lists of obligations at once: this framework still governs your deployment, and for the building you should work directly from the NIST AI Risk Management Framework and ISO/IEC 42001, both introduced in section 1.3.</w:t>
      </w:r>
      <w:bookmarkEnd w:id="1"/>
    </w:p>
    <w:p>
      <w:pPr>
        <w:pStyle w:val="Heading2"/>
        <w:rPr/>
      </w:pPr>
      <w:bookmarkStart w:id="2" w:name="the-five-commitments"/>
      <w:r>
        <w:rPr/>
        <w:t>1.2 The five commitments</w:t>
      </w:r>
    </w:p>
    <w:p>
      <w:pPr>
        <w:pStyle w:val="Normal"/>
        <w:rPr/>
      </w:pPr>
      <w:r>
        <w:rPr/>
        <w:t>Everything in this framework operationalises five commitments. Each one lives in a specific module where it becomes checklists, clauses, and named signatures.</w:t>
      </w:r>
    </w:p>
    <w:p>
      <w:pPr>
        <w:pStyle w:val="Normal"/>
        <w:rPr/>
      </w:pPr>
      <w:r>
        <w:rPr>
          <w:b/>
          <w:bCs/>
        </w:rPr>
        <w:t>1. Accountability names a person.</w:t>
      </w:r>
      <w:r>
        <w:rPr/>
        <w:t xml:space="preserve"> Every AI system in your institution has one named individual who is accountable for its behaviour in service and who has the authority to stop it. Module 3 defines the role, and the system register in Module 7 records the name.</w:t>
      </w:r>
    </w:p>
    <w:p>
      <w:pPr>
        <w:pStyle w:val="Normal"/>
        <w:rPr/>
      </w:pPr>
      <w:r>
        <w:rPr>
          <w:b/>
          <w:bCs/>
        </w:rPr>
        <w:t>2. Evidence comes before trust.</w:t>
      </w:r>
      <w:r>
        <w:rPr/>
        <w:t xml:space="preserve"> No claim about a system is accepted without a document behind it, and no high-stakes system goes live without being tested on your institution’s own data. Module 4 extracts the evidence from the vendor; Module 6 runs the test.</w:t>
      </w:r>
    </w:p>
    <w:p>
      <w:pPr>
        <w:pStyle w:val="Normal"/>
        <w:rPr/>
      </w:pPr>
      <w:r>
        <w:rPr>
          <w:b/>
          <w:bCs/>
        </w:rPr>
        <w:t>3. Oversight carries real authority.</w:t>
      </w:r>
      <w:r>
        <w:rPr/>
        <w:t xml:space="preserve"> A human overseeing an AI system has the power to override it, the training to know when to, and the time to look. Module 3 builds this.</w:t>
      </w:r>
    </w:p>
    <w:p>
      <w:pPr>
        <w:pStyle w:val="Normal"/>
        <w:rPr/>
      </w:pPr>
      <w:r>
        <w:rPr>
          <w:b/>
          <w:bCs/>
        </w:rPr>
        <w:t>4. Watching continues after go-live.</w:t>
      </w:r>
      <w:r>
        <w:rPr/>
        <w:t xml:space="preserve"> Module 6 sets what to measure in service, how often, who looks, and the threshold at which someone must act, and it gives affected people a named channel to challenge a decision, with a deadline for your answer.</w:t>
      </w:r>
    </w:p>
    <w:p>
      <w:pPr>
        <w:pStyle w:val="Normal"/>
        <w:rPr/>
      </w:pPr>
      <w:r>
        <w:rPr>
          <w:b/>
          <w:bCs/>
        </w:rPr>
        <w:t>5. You can always leave.</w:t>
      </w:r>
      <w:r>
        <w:rPr/>
        <w:t xml:space="preserve"> Every system has an exit: contractual rights to your data and a plan for switching off. Module 4 writes the exit into the contract; Module 6 executes it.</w:t>
      </w:r>
      <w:bookmarkEnd w:id="2"/>
    </w:p>
    <w:p>
      <w:pPr>
        <w:pStyle w:val="Heading2"/>
        <w:rPr/>
      </w:pPr>
      <w:bookmarkStart w:id="3" w:name="X40744d4da338a7223452fb2f5172c7d3dda6f1d"/>
      <w:r>
        <w:rPr/>
        <w:t>1.3 Where this framework sits among the standards</w:t>
      </w:r>
    </w:p>
    <w:p>
      <w:pPr>
        <w:pStyle w:val="Normal"/>
        <w:rPr/>
      </w:pPr>
      <w:r>
        <w:rPr/>
        <w:t>This framework restates no principles and competes with no standard. Five established instruments matter to a deployer, and this framework is the translation layer between them and your Monday morning:</w:t>
      </w:r>
    </w:p>
    <w:p>
      <w:pPr>
        <w:pStyle w:val="ListParagraph"/>
        <w:numPr>
          <w:ilvl w:val="0"/>
          <w:numId w:val="6"/>
        </w:numPr>
        <w:rPr/>
      </w:pPr>
      <w:r>
        <w:rPr>
          <w:b/>
          <w:bCs/>
        </w:rPr>
        <w:t>The EU AI Act</w:t>
      </w:r>
      <w:r>
        <w:rPr/>
        <w:t>, adopted in 2024, the first comprehensive AI law, whose obligations phase in over several years. Its risk-based logic (stricter duties for higher-stakes uses) is the logic of Module 2, and it places obligations on deployers as well as providers.</w:t>
      </w:r>
    </w:p>
    <w:p>
      <w:pPr>
        <w:pStyle w:val="ListParagraph"/>
        <w:numPr>
          <w:ilvl w:val="0"/>
          <w:numId w:val="7"/>
        </w:numPr>
        <w:rPr/>
      </w:pPr>
      <w:r>
        <w:rPr>
          <w:b/>
          <w:bCs/>
        </w:rPr>
        <w:t>The NIST AI Risk Management Framework</w:t>
      </w:r>
      <w:r>
        <w:rPr/>
        <w:t>, published by the United States National Institute of Standards and Technology in 2023. A voluntary framework organised around four functions: Govern, Map, Measure, and Manage. Its structure underlies Modules 2, 3, and 6.</w:t>
      </w:r>
    </w:p>
    <w:p>
      <w:pPr>
        <w:pStyle w:val="ListParagraph"/>
        <w:numPr>
          <w:ilvl w:val="0"/>
          <w:numId w:val="8"/>
        </w:numPr>
        <w:rPr/>
      </w:pPr>
      <w:r>
        <w:rPr>
          <w:b/>
          <w:bCs/>
        </w:rPr>
        <w:t>ISO/IEC 42001</w:t>
      </w:r>
      <w:r>
        <w:rPr/>
        <w:t>, published in December 2023 by the International Organization for Standardization and the International Electrotechnical Commission (jointly, ISO/IEC), the first international management system standard for AI. It describes what an organisation-level AI management system contains. This framework is a lightweight on-ramp to it.</w:t>
      </w:r>
    </w:p>
    <w:p>
      <w:pPr>
        <w:pStyle w:val="ListParagraph"/>
        <w:numPr>
          <w:ilvl w:val="0"/>
          <w:numId w:val="9"/>
        </w:numPr>
        <w:rPr/>
      </w:pPr>
      <w:r>
        <w:rPr>
          <w:b/>
          <w:bCs/>
        </w:rPr>
        <w:t>The OECD AI Principles</w:t>
      </w:r>
      <w:r>
        <w:rPr/>
        <w:t xml:space="preserve"> (the Organisation for Economic Co-operation and Development), adopted in 2019 and updated in 2024, the first intergovernmental standard on AI.</w:t>
      </w:r>
    </w:p>
    <w:p>
      <w:pPr>
        <w:pStyle w:val="ListParagraph"/>
        <w:numPr>
          <w:ilvl w:val="0"/>
          <w:numId w:val="10"/>
        </w:numPr>
        <w:rPr/>
      </w:pPr>
      <w:r>
        <w:rPr>
          <w:b/>
          <w:bCs/>
        </w:rPr>
        <w:t>The UNESCO Recommendation on the Ethics of Artificial Intelligence</w:t>
      </w:r>
      <w:r>
        <w:rPr/>
        <w:t xml:space="preserve"> (the United Nations Educational, Scientific and Cultural Organization), adopted by UNESCO’s member states in November 2021.</w:t>
      </w:r>
    </w:p>
    <w:p>
      <w:pPr>
        <w:pStyle w:val="Normal"/>
        <w:rPr/>
      </w:pPr>
      <w:r>
        <w:rPr/>
        <w:t>The last two are values instruments.</w:t>
      </w:r>
    </w:p>
    <w:p>
      <w:pPr>
        <w:pStyle w:val="Normal"/>
        <w:keepNext w:val="true"/>
        <w:rPr/>
      </w:pPr>
      <w:r>
        <w:rPr/>
        <w:t>The mapping, at concept level (precise article and clause references are collected and verified in the annex):</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377"/>
        <w:gridCol w:w="2638"/>
        <w:gridCol w:w="1520"/>
        <w:gridCol w:w="1723"/>
        <w:gridCol w:w="2040"/>
      </w:tblGrid>
      <w:tr>
        <w:trPr>
          <w:tblHeader w:val="true"/>
          <w:cantSplit w:val="true"/>
        </w:trPr>
        <w:tc>
          <w:tcPr>
            <w:tcW w:w="137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 in this framework</w:t>
            </w:r>
          </w:p>
        </w:tc>
        <w:tc>
          <w:tcPr>
            <w:tcW w:w="263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EU AI Act</w:t>
            </w:r>
          </w:p>
        </w:tc>
        <w:tc>
          <w:tcPr>
            <w:tcW w:w="152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NIST AI RMF</w:t>
            </w:r>
          </w:p>
        </w:tc>
        <w:tc>
          <w:tcPr>
            <w:tcW w:w="172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ISO/IEC 42001</w:t>
            </w:r>
          </w:p>
        </w:tc>
        <w:tc>
          <w:tcPr>
            <w:tcW w:w="204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OECD Principles and UNESCO Recommendation</w:t>
            </w:r>
          </w:p>
        </w:tc>
      </w:tr>
      <w:tr>
        <w:trPr>
          <w:cantSplit w:val="true"/>
        </w:trPr>
        <w:tc>
          <w:tcPr>
            <w:tcW w:w="13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2: Risk tiering</w:t>
            </w:r>
          </w:p>
        </w:tc>
        <w:tc>
          <w:tcPr>
            <w:tcW w:w="263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Act’s risk-based structure: obligations scale with the stakes of the use</w:t>
            </w:r>
          </w:p>
        </w:tc>
        <w:tc>
          <w:tcPr>
            <w:tcW w:w="15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Map: establishing context and classifying risk</w:t>
            </w:r>
          </w:p>
        </w:tc>
        <w:tc>
          <w:tcPr>
            <w:tcW w:w="17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assessment expectations within the management system</w:t>
            </w:r>
          </w:p>
        </w:tc>
        <w:tc>
          <w:tcPr>
            <w:tcW w:w="20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Governance effort scaled to the risk of harm to people</w:t>
            </w:r>
          </w:p>
        </w:tc>
      </w:tr>
      <w:tr>
        <w:trPr>
          <w:cantSplit w:val="true"/>
        </w:trPr>
        <w:tc>
          <w:tcPr>
            <w:tcW w:w="13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3: Roles and human oversight</w:t>
            </w:r>
          </w:p>
        </w:tc>
        <w:tc>
          <w:tcPr>
            <w:tcW w:w="263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Act’s human oversight requirements for high-risk systems, and deployer duties to assign competent oversight</w:t>
            </w:r>
          </w:p>
        </w:tc>
        <w:tc>
          <w:tcPr>
            <w:tcW w:w="15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Govern: accountability structures, roles, and culture</w:t>
            </w:r>
          </w:p>
        </w:tc>
        <w:tc>
          <w:tcPr>
            <w:tcW w:w="17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Leadership, roles, and responsibilities clauses</w:t>
            </w:r>
          </w:p>
        </w:tc>
        <w:tc>
          <w:tcPr>
            <w:tcW w:w="20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Accountability; human determination</w:t>
            </w:r>
          </w:p>
        </w:tc>
      </w:tr>
      <w:tr>
        <w:trPr>
          <w:cantSplit w:val="true"/>
        </w:trPr>
        <w:tc>
          <w:tcPr>
            <w:tcW w:w="13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4: Procurement and vendors</w:t>
            </w:r>
          </w:p>
        </w:tc>
        <w:tc>
          <w:tcPr>
            <w:tcW w:w="263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Provider documentation and instructions for use, which a deployer must obtain and follow</w:t>
            </w:r>
          </w:p>
        </w:tc>
        <w:tc>
          <w:tcPr>
            <w:tcW w:w="15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Govern and Map: third-party risk</w:t>
            </w:r>
          </w:p>
        </w:tc>
        <w:tc>
          <w:tcPr>
            <w:tcW w:w="17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Supplier and third-party controls</w:t>
            </w:r>
          </w:p>
        </w:tc>
        <w:tc>
          <w:tcPr>
            <w:tcW w:w="20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Transparency and accountability, made contractual</w:t>
            </w:r>
          </w:p>
        </w:tc>
      </w:tr>
      <w:tr>
        <w:trPr>
          <w:cantSplit w:val="true"/>
        </w:trPr>
        <w:tc>
          <w:tcPr>
            <w:tcW w:w="13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5: Data, security, sovereignty</w:t>
            </w:r>
          </w:p>
        </w:tc>
        <w:tc>
          <w:tcPr>
            <w:tcW w:w="263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Act’s data governance concerns; national data protection law sits alongside and prevails</w:t>
            </w:r>
          </w:p>
        </w:tc>
        <w:tc>
          <w:tcPr>
            <w:tcW w:w="15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Measure and Manage: data and security risk</w:t>
            </w:r>
          </w:p>
        </w:tc>
        <w:tc>
          <w:tcPr>
            <w:tcW w:w="17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and asset management expectations</w:t>
            </w:r>
          </w:p>
        </w:tc>
        <w:tc>
          <w:tcPr>
            <w:tcW w:w="20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Privacy; safety and security</w:t>
            </w:r>
          </w:p>
        </w:tc>
      </w:tr>
      <w:tr>
        <w:trPr>
          <w:cantSplit w:val="true"/>
        </w:trPr>
        <w:tc>
          <w:tcPr>
            <w:tcW w:w="13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6: Deployment lifecycle</w:t>
            </w:r>
          </w:p>
        </w:tc>
        <w:tc>
          <w:tcPr>
            <w:tcW w:w="263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Deployer duties to monitor operation and report serious incidents</w:t>
            </w:r>
          </w:p>
        </w:tc>
        <w:tc>
          <w:tcPr>
            <w:tcW w:w="15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Measure and Manage: test, monitor, respond</w:t>
            </w:r>
          </w:p>
        </w:tc>
        <w:tc>
          <w:tcPr>
            <w:tcW w:w="17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 performance evaluation, and improvement clauses</w:t>
            </w:r>
          </w:p>
        </w:tc>
        <w:tc>
          <w:tcPr>
            <w:tcW w:w="20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Safety; accountability through the full lifecycle</w:t>
            </w:r>
          </w:p>
        </w:tc>
      </w:tr>
      <w:tr>
        <w:trPr>
          <w:cantSplit w:val="true"/>
        </w:trPr>
        <w:tc>
          <w:tcPr>
            <w:tcW w:w="13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 Toolkit</w:t>
            </w:r>
          </w:p>
        </w:tc>
        <w:tc>
          <w:tcPr>
            <w:tcW w:w="263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working evidence that the duties above were performed</w:t>
            </w:r>
          </w:p>
        </w:tc>
        <w:tc>
          <w:tcPr>
            <w:tcW w:w="15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four functions as filled-in documents</w:t>
            </w:r>
          </w:p>
        </w:tc>
        <w:tc>
          <w:tcPr>
            <w:tcW w:w="17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Records the management system requires</w:t>
            </w:r>
          </w:p>
        </w:tc>
        <w:tc>
          <w:tcPr>
            <w:tcW w:w="20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Documented evidence that the values were applied to each system, before and after go-live</w:t>
            </w:r>
          </w:p>
        </w:tc>
      </w:tr>
    </w:tbl>
    <w:p>
      <w:pPr>
        <w:pStyle w:val="Normal"/>
        <w:spacing w:before="160" w:after="100"/>
        <w:rPr/>
      </w:pPr>
      <w:bookmarkStart w:id="4" w:name="X40744d4da338a7223452fb2f5172c7d3dda6f1d"/>
      <w:r>
        <w:rPr/>
        <w:t>Where a national law or regulation applies to you, it prevails over this framework, and Module 5 tells you which questions to take to local advice.</w:t>
      </w:r>
      <w:bookmarkEnd w:id="4"/>
    </w:p>
    <w:p>
      <w:pPr>
        <w:pStyle w:val="Heading2"/>
        <w:rPr/>
      </w:pPr>
      <w:bookmarkStart w:id="5" w:name="Xff05780b967fb96633340fb71221f5ad9523193"/>
      <w:r>
        <w:rPr/>
        <w:t>1.4 What this framework does not cover, and when to get help</w:t>
      </w:r>
    </w:p>
    <w:p>
      <w:pPr>
        <w:pStyle w:val="ListParagraph"/>
        <w:numPr>
          <w:ilvl w:val="0"/>
          <w:numId w:val="11"/>
        </w:numPr>
        <w:rPr/>
      </w:pPr>
      <w:r>
        <w:rPr>
          <w:b/>
          <w:bCs/>
        </w:rPr>
        <w:t>It is not legal advice.</w:t>
      </w:r>
      <w:r>
        <w:rPr/>
        <w:t xml:space="preserve"> It tells you what to demand and what to check; a lawyer qualified in your jurisdiction tells you what the words mean in your country. The framework marks the points where that review is required (contract signature in Module 4, data transfer in Module 5, incident notification in Module 6).</w:t>
      </w:r>
    </w:p>
    <w:p>
      <w:pPr>
        <w:pStyle w:val="ListParagraph"/>
        <w:numPr>
          <w:ilvl w:val="0"/>
          <w:numId w:val="3"/>
        </w:numPr>
        <w:rPr/>
      </w:pPr>
      <w:r>
        <w:rPr>
          <w:b/>
          <w:bCs/>
        </w:rPr>
        <w:t>It does not evaluate model internals.</w:t>
      </w:r>
      <w:r>
        <w:rPr/>
        <w:t xml:space="preserve"> The framework’s method is external: evidence, testing on your own data, monitoring in service, and enforceable contracts.</w:t>
      </w:r>
    </w:p>
    <w:p>
      <w:pPr>
        <w:pStyle w:val="ListParagraph"/>
        <w:numPr>
          <w:ilvl w:val="0"/>
          <w:numId w:val="3"/>
        </w:numPr>
        <w:rPr/>
      </w:pPr>
      <w:r>
        <w:rPr>
          <w:b/>
          <w:bCs/>
        </w:rPr>
        <w:t>It does not certify compliance</w:t>
      </w:r>
      <w:r>
        <w:rPr/>
        <w:t xml:space="preserve"> with any law or standard, including the five instruments above. The mapping shows direction of travel. An auditor or regulator confirms arrival.</w:t>
      </w:r>
    </w:p>
    <w:p>
      <w:pPr>
        <w:pStyle w:val="ListParagraph"/>
        <w:numPr>
          <w:ilvl w:val="0"/>
          <w:numId w:val="3"/>
        </w:numPr>
        <w:rPr/>
      </w:pPr>
      <w:r>
        <w:rPr>
          <w:b/>
          <w:bCs/>
        </w:rPr>
        <w:t>It does not replace domain expertise.</w:t>
      </w:r>
      <w:r>
        <w:rPr/>
        <w:t xml:space="preserve"> Whether a clinical tool is medically sound, a credit model is financially sound, or a grid tool is operationally sound remains a judgement for your clinicians, your risk officers, your engineers. The framework gets them the evidence and the authority to make that judgement.</w:t>
      </w:r>
    </w:p>
    <w:p>
      <w:pPr>
        <w:pStyle w:val="ListParagraph"/>
        <w:numPr>
          <w:ilvl w:val="0"/>
          <w:numId w:val="3"/>
        </w:numPr>
        <w:rPr/>
      </w:pPr>
      <w:r>
        <w:rPr>
          <w:b/>
          <w:bCs/>
        </w:rPr>
        <w:t>It does not govern the building of models.</w:t>
      </w:r>
      <w:r>
        <w:rPr/>
        <w:t xml:space="preserve"> Builders and fine-tuners: see the scope note in section 1.1.</w:t>
      </w:r>
    </w:p>
    <w:p>
      <w:pPr>
        <w:pStyle w:val="ListParagraph"/>
        <w:numPr>
          <w:ilvl w:val="0"/>
          <w:numId w:val="3"/>
        </w:numPr>
        <w:rPr/>
      </w:pPr>
      <w:r>
        <w:rPr>
          <w:b/>
          <w:bCs/>
        </w:rPr>
        <w:t>It cannot supply capacity you do not have.</w:t>
      </w:r>
      <w:r>
        <w:rPr/>
        <w:t xml:space="preserve"> It is designed for a stretched team, and Module 2 exists so that effort goes where the stakes are. It still costs hours: roughly 14 hours per month across the four roles for a single high-stakes system in steady operation (a framework default, stated per role in Module 3 for you to adjust and record).</w:t>
      </w:r>
    </w:p>
    <w:p>
      <w:pPr>
        <w:pStyle w:val="Normal"/>
        <w:rPr/>
      </w:pPr>
      <w:r>
        <w:rPr/>
        <w:t>Get specialist help, and budget for it, at these specific points: legal review before any Tier 2 signature; local data protection advice before personal data crosses a border; security testing for any system exposed to the public; independent adversarial testing for systems where successful manipulation could affect safety, security screening, or access to essential services; and domain review (clinical, financial, engineering) before any Tier 2 system passes its go-live gate.</w:t>
      </w:r>
    </w:p>
    <w:p>
      <w:pPr>
        <w:pStyle w:val="Normal"/>
        <w:rPr/>
      </w:pPr>
      <w:r>
        <w:rPr>
          <w:b/>
          <w:bCs/>
        </w:rPr>
        <w:t>Where to go next.</w:t>
      </w:r>
      <w:r>
        <w:rPr/>
        <w:t xml:space="preserve"> A live purchase: Module 2, then Module 4. Tools staff adopted without procurement, including free tools: Module 2 classifies them and Module 7’s first week finds them. Systems already running with no governance around them: Module 2 to tier them, then Module 3 to name the roles, then Module 6 to start monitoring. Building from zero with time to plan: read the modules in order, then run the thirty-day path (Module 7.0).</w:t>
      </w:r>
      <w:bookmarkEnd w:id="5"/>
    </w:p>
    <w:p>
      <w:pPr>
        <w:pStyle w:val="Heading2"/>
        <w:pageBreakBefore/>
        <w:rPr/>
      </w:pPr>
      <w:bookmarkStart w:id="6" w:name="artifact-1-the-one-page-orientation"/>
      <w:r>
        <w:rPr/>
        <w:t>Artifact 1: The one-page orientation</w:t>
      </w:r>
    </w:p>
    <w:p>
      <w:pPr>
        <w:pStyle w:val="Boxtext"/>
        <w:rPr/>
      </w:pPr>
      <w:r>
        <w:rPr>
          <w:b/>
          <w:bCs/>
        </w:rPr>
        <w:t>Standalone artifact.</w:t>
      </w:r>
      <w:r>
        <w:rPr/>
        <w:t xml:space="preserve"> Open AI Governance and Deployment Framework, Version 1.0. Licence: CC BY 4.0. Purpose: a single page for a director, board member, minister, or executive whose institution is adopting this framework. It is designed to be sent ahead of the meeting where you ask for the four appointments at the bottom.</w:t>
      </w:r>
    </w:p>
    <w:p>
      <w:pPr>
        <w:pStyle w:val="Heading3"/>
        <w:rPr/>
      </w:pPr>
      <w:bookmarkStart w:id="7" w:name="X09f2437fe6f2c7a83b0e8e0e39b05d520dc2d38"/>
      <w:r>
        <w:rPr/>
        <w:t>AI governance for institutions that deploy: one page</w:t>
      </w:r>
    </w:p>
    <w:p>
      <w:pPr>
        <w:pStyle w:val="Normal"/>
        <w:rPr/>
      </w:pPr>
      <w:r>
        <w:rPr>
          <w:b/>
          <w:bCs/>
        </w:rPr>
        <w:t>The situation.</w:t>
      </w:r>
      <w:r>
        <w:rPr/>
        <w:t xml:space="preserve"> Our institution buys and runs AI systems; it does not build them. Almost all AI governance guidance is written for builders. This framework is an operating manual for our seat: what to demand from vendors, who is accountable internally, what to check before a system goes live, what to watch afterwards, and how to switch off.</w:t>
      </w:r>
    </w:p>
    <w:p>
      <w:pPr>
        <w:pStyle w:val="Normal"/>
        <w:rPr/>
      </w:pPr>
      <w:r>
        <w:rPr>
          <w:b/>
          <w:bCs/>
        </w:rPr>
        <w:t>The framework we are adopting.</w:t>
      </w:r>
      <w:r>
        <w:rPr/>
        <w:t xml:space="preserve"> The Open AI Governance and Deployment Framework (Version 1.0), a public document published under an open licence. It maps onto the EU AI Act, the NIST AI Risk Management Framework, ISO/IEC 42001, the OECD AI Principles, and the UNESCO Recommendation on the Ethics of AI, so work done under it is evidence of movement towards recognised standards, though the framework certifies compliance with none of them. It is not legal advice, and it prescribes where legal and specialist review is required.</w:t>
      </w:r>
    </w:p>
    <w:p>
      <w:pPr>
        <w:pStyle w:val="Normal"/>
        <w:rPr/>
      </w:pPr>
      <w:r>
        <w:rPr>
          <w:b/>
          <w:bCs/>
        </w:rPr>
        <w:t>The five commitments it runs on.</w:t>
      </w:r>
      <w:r>
        <w:rPr/>
        <w:br/>
        <w:t>1. Accountability names a person: every system has one named owner with the authority to stop it.</w:t>
        <w:br/>
        <w:t>2. Evidence comes before trust: no vendor claim without a document; no high-stakes go-live without a test on our own data.</w:t>
        <w:br/>
        <w:t>3. Oversight carries real authority: the humans reviewing AI outputs can override them, and have the training and time to do it.</w:t>
        <w:br/>
        <w:t>4. Watching continues after go-live: defined metrics, a defined reviewer, defined thresholds for action, and a channel for affected people to challenge a decision.</w:t>
        <w:br/>
        <w:t>5. We can always leave: every contract includes exit and data return; every system has a switch-off plan.</w:t>
      </w:r>
    </w:p>
    <w:p>
      <w:pPr>
        <w:pStyle w:val="Normal"/>
        <w:rPr/>
      </w:pPr>
      <w:r>
        <w:rPr>
          <w:b/>
          <w:bCs/>
        </w:rPr>
        <w:t>What this asks of leadership.</w:t>
      </w:r>
      <w:r>
        <w:rPr/>
        <w:br/>
        <w:t>1. Appoint four roles (existing staff hold them alongside their jobs, with the monthly time cost stated per role): a System Owner per AI system, an Operational Lead, a Data Steward, and an Independent Reviewer for go-live sign-offs.</w:t>
        <w:br/>
        <w:t>2. Require the risk classification worksheet for every AI use case, existing and proposed, including free tools.</w:t>
        <w:br/>
        <w:t>3. Require the procurement gate: no AI contract is signed until the vendor due diligence checklist passes for the system’s risk tier.</w:t>
        <w:br/>
        <w:t>4. Receive the monitoring summary: one page per month on every high-stakes system, from the System Owner.</w:t>
      </w:r>
    </w:p>
    <w:p>
      <w:pPr>
        <w:pStyle w:val="Normal"/>
        <w:rPr/>
      </w:pPr>
      <w:r>
        <w:rPr>
          <w:b/>
          <w:bCs/>
        </w:rPr>
        <w:t>What it costs.</w:t>
      </w:r>
      <w:r>
        <w:rPr/>
        <w:t xml:space="preserve"> Staff hours, stated per role in the framework, and paid specialist help at the points named in Module 1.4: legal review, data protection advice, security testing, adversarial testing, and domain review. What it prevents: buying systems that do not work on our population, contracts we cannot exit, silent degradation in service, and standing unprepared in front of a regulator, an auditor, or an affected person.</w:t>
      </w:r>
    </w:p>
    <w:p>
      <w:pPr>
        <w:pStyle w:val="Normal"/>
        <w:keepNext w:val="true"/>
        <w:rPr/>
      </w:pPr>
      <w:r>
        <w:rPr>
          <w:b/>
          <w:bCs/>
        </w:rPr>
        <w:t>Directive and designations.</w:t>
      </w:r>
      <w:r>
        <w:rPr/>
        <w:t xml:space="preserve"> By signing, leadership adopts this framework for the institution and mandates the thirty-day path (Module 7), including the instruction to departments to answer its first-week question.</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4339"/>
        <w:gridCol w:w="2479"/>
        <w:gridCol w:w="2480"/>
      </w:tblGrid>
      <w:tr>
        <w:trPr>
          <w:tblHeader w:val="true"/>
          <w:cantSplit w:val="true"/>
        </w:trPr>
        <w:tc>
          <w:tcPr>
            <w:tcW w:w="433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Role</w:t>
            </w:r>
          </w:p>
        </w:tc>
        <w:tc>
          <w:tcPr>
            <w:tcW w:w="247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Name</w:t>
            </w:r>
          </w:p>
        </w:tc>
        <w:tc>
          <w:tcPr>
            <w:tcW w:w="248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Date</w:t>
            </w:r>
          </w:p>
        </w:tc>
      </w:tr>
      <w:tr>
        <w:trPr>
          <w:cantSplit w:val="true"/>
        </w:trPr>
        <w:tc>
          <w:tcPr>
            <w:tcW w:w="433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for [system]</w:t>
            </w:r>
          </w:p>
        </w:tc>
        <w:tc>
          <w:tcPr>
            <w:tcW w:w="247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433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w:t>
            </w:r>
          </w:p>
        </w:tc>
        <w:tc>
          <w:tcPr>
            <w:tcW w:w="247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433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Steward</w:t>
            </w:r>
          </w:p>
        </w:tc>
        <w:tc>
          <w:tcPr>
            <w:tcW w:w="247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433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Independent Reviewer arrangement</w:t>
            </w:r>
          </w:p>
        </w:tc>
        <w:tc>
          <w:tcPr>
            <w:tcW w:w="247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t>Authorised by (name, title, signature): ____________ Date: ____________</w:t>
      </w:r>
    </w:p>
    <w:p>
      <w:pPr>
        <w:pStyle w:val="Normal"/>
        <w:rPr/>
      </w:pPr>
      <w:bookmarkStart w:id="8" w:name="artifact-1-the-one-page-orientation"/>
      <w:bookmarkStart w:id="9" w:name="X09f2437fe6f2c7a83b0e8e0e39b05d520dc2d38"/>
      <w:r>
        <w:rPr>
          <w:i/>
          <w:iCs/>
        </w:rPr>
        <w:t>Prepared by: ____________ For: ____________ Date: ____________</w:t>
      </w:r>
      <w:bookmarkEnd w:id="8"/>
      <w:bookmarkEnd w:id="9"/>
    </w:p>
    <w:p>
      <w:pPr>
        <w:pStyle w:val="Heading2"/>
        <w:rPr/>
      </w:pPr>
      <w:bookmarkStart w:id="10" w:name="references-for-this-module"/>
      <w:r>
        <w:rPr/>
        <w:t>References for this module</w:t>
      </w:r>
    </w:p>
    <w:p>
      <w:pPr>
        <w:pStyle w:val="ListParagraph"/>
        <w:numPr>
          <w:ilvl w:val="0"/>
          <w:numId w:val="12"/>
        </w:numPr>
        <w:rPr/>
      </w:pPr>
      <w:r>
        <w:rPr/>
        <w:t>OECD, Recommendation of the Council on Artificial Intelligence (the OECD AI Principles), adopted May 2019, updated 2024.</w:t>
      </w:r>
    </w:p>
    <w:p>
      <w:pPr>
        <w:pStyle w:val="ListParagraph"/>
        <w:numPr>
          <w:ilvl w:val="0"/>
          <w:numId w:val="13"/>
        </w:numPr>
        <w:rPr/>
      </w:pPr>
      <w:r>
        <w:rPr/>
        <w:t>UNESCO, Recommendation on the Ethics of Artificial Intelligence, adopted November 2021.</w:t>
      </w:r>
    </w:p>
    <w:p>
      <w:pPr>
        <w:pStyle w:val="ListParagraph"/>
        <w:numPr>
          <w:ilvl w:val="0"/>
          <w:numId w:val="14"/>
        </w:numPr>
        <w:rPr/>
      </w:pPr>
      <w:r>
        <w:rPr/>
        <w:t>ISO/IEC 42001:2023, Information technology, Artificial intelligence, Management system. Published December 2023.</w:t>
      </w:r>
    </w:p>
    <w:p>
      <w:pPr>
        <w:pStyle w:val="ListParagraph"/>
        <w:numPr>
          <w:ilvl w:val="0"/>
          <w:numId w:val="15"/>
        </w:numPr>
        <w:rPr/>
      </w:pPr>
      <w:r>
        <w:rPr/>
        <w:t>NIST, Artificial Intelligence Risk Management Framework (AI RMF 1.0), published January 2023.</w:t>
      </w:r>
    </w:p>
    <w:p>
      <w:pPr>
        <w:pStyle w:val="ListParagraph"/>
        <w:numPr>
          <w:ilvl w:val="0"/>
          <w:numId w:val="16"/>
        </w:numPr>
        <w:spacing w:before="0" w:after="60"/>
        <w:rPr/>
      </w:pPr>
      <w:bookmarkStart w:id="11" w:name="module-1-foundations"/>
      <w:bookmarkStart w:id="12" w:name="references-for-this-module"/>
      <w:r>
        <w:rPr/>
        <w:t>Regulation (EU) 2024/1689 of the European Parliament and of the Council of 13 June 2024 (the EU Artificial Intelligence Act). Entered into force 1 August 2024, with obligations applying in phases from 2025. Amended by Regulation (EU) 2026/1744 of 8 July 2026 (Digital Omnibus on AI), in force 27 July 2026.</w:t>
      </w:r>
      <w:bookmarkEnd w:id="11"/>
      <w:bookmarkEnd w:id="12"/>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304" w:right="1304" w:gutter="0" w:header="709" w:top="1418" w:footer="709" w:bottom="1418"/>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5</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5</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1"/>
  </w:num>
  <w:num w:numId="7">
    <w:abstractNumId w:val="1"/>
  </w:num>
  <w:num w:numId="8">
    <w:abstractNumId w:val="1"/>
  </w:num>
  <w:num w:numId="9">
    <w:abstractNumId w:val="1"/>
  </w:num>
  <w:num w:numId="10">
    <w:abstractNumId w:val="1"/>
  </w:num>
  <w:num w:numId="11">
    <w:abstractNumId w:val="3"/>
    <w:lvlOverride w:ilvl="0">
      <w:startOverride w:val="1"/>
    </w:lvlOverride>
  </w:num>
  <w:num w:numId="12">
    <w:abstractNumId w:val="1"/>
  </w:num>
  <w:num w:numId="13">
    <w:abstractNumId w:val="1"/>
  </w:num>
  <w:num w:numId="14">
    <w:abstractNumId w:val="1"/>
  </w:num>
  <w:num w:numId="15">
    <w:abstractNumId w:val="1"/>
  </w:num>
  <w:num w:numId="16">
    <w:abstractNumId w:val="1"/>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lang w:val="en-GB" w:eastAsia="en-GB" w:bidi="ar-SA"/>
      </w:rPr>
    </w:rPrDefault>
    <w:pPrDefault>
      <w:pPr>
        <w:suppressAutoHyphens w:val="true"/>
      </w:pPr>
    </w:pPrDefault>
  </w:docDefaults>
  <w:style w:type="paragraph" w:styleId="Normal" w:default="1">
    <w:name w:val="Normal"/>
    <w:qFormat/>
    <w:pPr>
      <w:widowControl/>
      <w:bidi w:val="0"/>
      <w:spacing w:lineRule="auto" w:line="259" w:before="0" w:after="100"/>
      <w:jc w:val="left"/>
    </w:pPr>
    <w:rPr>
      <w:rFonts w:ascii="Calibri" w:hAnsi="Calibri" w:eastAsia="Calibri" w:cs="Calibri"/>
      <w:color w:val="1A1A1A"/>
      <w:kern w:val="0"/>
      <w:sz w:val="20"/>
      <w:szCs w:val="20"/>
      <w:lang w:val="en-GB" w:eastAsia="en-GB" w:bidi="ar-SA"/>
    </w:rPr>
  </w:style>
  <w:style w:type="paragraph" w:styleId="Heading1">
    <w:name w:val="Heading 1"/>
    <w:basedOn w:val="Normal"/>
    <w:next w:val="Normal"/>
    <w:uiPriority w:val="9"/>
    <w:qFormat/>
    <w:pPr>
      <w:keepNext w:val="true"/>
      <w:keepLines/>
      <w:spacing w:lineRule="auto" w:line="240" w:before="0" w:after="280"/>
      <w:outlineLvl w:val="0"/>
    </w:pPr>
    <w:rPr>
      <w:b/>
      <w:bCs/>
      <w:color w:val="1F3864"/>
      <w:sz w:val="40"/>
      <w:szCs w:val="40"/>
    </w:rPr>
  </w:style>
  <w:style w:type="paragraph" w:styleId="Heading2">
    <w:name w:val="Heading 2"/>
    <w:basedOn w:val="Normal"/>
    <w:next w:val="Normal"/>
    <w:uiPriority w:val="9"/>
    <w:qFormat/>
    <w:pPr>
      <w:keepNext w:val="true"/>
      <w:keepLines/>
      <w:spacing w:lineRule="auto" w:line="240" w:before="360" w:after="120"/>
      <w:outlineLvl w:val="1"/>
    </w:pPr>
    <w:rPr>
      <w:b/>
      <w:bCs/>
      <w:color w:val="1F3864"/>
      <w:sz w:val="28"/>
      <w:szCs w:val="28"/>
    </w:rPr>
  </w:style>
  <w:style w:type="paragraph" w:styleId="Heading3">
    <w:name w:val="Heading 3"/>
    <w:basedOn w:val="Normal"/>
    <w:next w:val="Normal"/>
    <w:uiPriority w:val="9"/>
    <w:qFormat/>
    <w:pPr>
      <w:keepNext w:val="true"/>
      <w:keepLines/>
      <w:spacing w:lineRule="auto" w:line="240" w:before="280" w:after="100"/>
      <w:outlineLvl w:val="2"/>
    </w:pPr>
    <w:rPr>
      <w:b/>
      <w:bCs/>
      <w:color w:val="1F3864"/>
      <w:sz w:val="24"/>
      <w:szCs w:val="24"/>
    </w:rPr>
  </w:style>
  <w:style w:type="character" w:styleId="DefaultParagraphFont" w:default="1">
    <w:name w:val="Default Paragraph Font"/>
    <w:uiPriority w:val="1"/>
    <w:semiHidden/>
    <w:unhideWhenUsed/>
    <w:qFormat/>
    <w:rPr/>
  </w:style>
  <w:style w:type="paragraph" w:styleId="ListParagraph">
    <w:name w:val="List Paragraph"/>
    <w:basedOn w:val="Normal"/>
    <w:uiPriority w:val="34"/>
    <w:qFormat/>
    <w:pPr>
      <w:spacing w:before="0" w:after="60"/>
      <w:ind w:left="720"/>
    </w:pPr>
    <w:rPr/>
  </w:style>
  <w:style w:type="paragraph" w:styleId="Boxtext" w:customStyle="1">
    <w:name w:val="Box text"/>
    <w:basedOn w:val="Normal"/>
    <w:qFormat/>
    <w:pPr>
      <w:pBdr>
        <w:left w:val="single" w:sz="18" w:space="8" w:color="1F3864"/>
      </w:pBdr>
      <w:shd w:val="clear" w:color="auto" w:fill="EEF2F7"/>
      <w:spacing w:before="60" w:after="60"/>
      <w:ind w:left="227" w:right="113"/>
    </w:pPr>
    <w:rPr/>
  </w:style>
  <w:style w:type="paragraph" w:styleId="Tabletext" w:customStyle="1">
    <w:name w:val="Table text"/>
    <w:basedOn w:val="Normal"/>
    <w:qFormat/>
    <w:pPr>
      <w:spacing w:lineRule="auto" w:line="240" w:before="20" w:after="20"/>
    </w:pPr>
    <w:rPr>
      <w:sz w:val="18"/>
      <w:szCs w:val="18"/>
    </w:rPr>
  </w:style>
  <w:style w:type="paragraph" w:styleId="Tableheader" w:customStyle="1">
    <w:name w:val="Table header"/>
    <w:basedOn w:val="Normal"/>
    <w:qFormat/>
    <w:pPr>
      <w:keepNext w:val="true"/>
      <w:spacing w:lineRule="auto" w:line="240" w:before="20" w:after="20"/>
    </w:pPr>
    <w:rPr>
      <w:b/>
      <w:bCs/>
      <w:sz w:val="18"/>
      <w:szCs w:val="18"/>
    </w:rPr>
  </w:style>
  <w:style w:type="paragraph" w:styleId="Header">
    <w:name w:val="Header"/>
    <w:basedOn w:val="Normal"/>
    <w:uiPriority w:val="99"/>
    <w:unhideWhenUsed/>
    <w:qFormat/>
    <w:pPr>
      <w:tabs>
        <w:tab w:val="clear" w:pos="720"/>
        <w:tab w:val="right" w:pos="9298" w:leader="none"/>
      </w:tabs>
      <w:spacing w:lineRule="auto" w:line="240" w:before="0" w:after="0"/>
    </w:pPr>
    <w:rPr>
      <w:color w:val="595959"/>
      <w:sz w:val="16"/>
      <w:szCs w:val="16"/>
    </w:rPr>
  </w:style>
  <w:style w:type="paragraph" w:styleId="Footer">
    <w:name w:val="Footer"/>
    <w:basedOn w:val="Normal"/>
    <w:uiPriority w:val="99"/>
    <w:unhideWhenUsed/>
    <w:qFormat/>
    <w:pPr>
      <w:spacing w:lineRule="auto" w:line="240" w:before="0" w:after="0"/>
      <w:jc w:val="center"/>
    </w:pPr>
    <w:rPr>
      <w:color w:val="595959"/>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FrameworkTable">
    <w:name w:val="Framework table"/>
    <w:basedOn w:val="TableNormal"/>
    <w:uiPriority w:val="59"/>
    <w:pPr>
      <w:spacing w:after="0" w:line="240" w:lineRule="auto"/>
    </w:pPr>
    <w:tblP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40" w:type="dxa"/>
        <w:left w:w="85" w:type="dxa"/>
        <w:bottom w:w="40" w:type="dxa"/>
        <w:right w:w="85"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5</Pages>
  <Words>2347</Words>
  <Characters>12516</Characters>
  <CharactersWithSpaces>14741</CharactersWithSpaces>
  <Paragraphs>101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2026-09-29T14:49:26Z</dcterms:created>
  <dc:creator>Yellow Sapphire Technologies Inc.</dc:creator>
  <dc:description>Version 1.0, 1 October 2026. Published by Yellow Sapphire Technologies Inc. under CC BY 4.0. doi:10.5281/zenodo.22986774</dc:description>
  <cp:keywords>AI governance, AI deployment, procurement, risk tiering, human oversight, data protection, monitoring</cp:keywords>
  <dc:language>en-GB</dc:language>
  <cp:lastModifiedBy>Yellow Sapphire Technologies Inc.</cp:lastModifiedBy>
  <dcterms:modified xsi:type="dcterms:W3CDTF">2026-09-29T14:49:26Z</dcterms:modified>
  <cp:revision>1</cp:revision>
  <dc:subject>An operating manual for institutions that buy, deploy, and run AI systems</dc:subject>
  <dc:title>Open AI Governance and Deployment Framework, Version 1.0. Module 1: Foundations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I">
    <vt:lpwstr>10.5281/zenodo.22986774</vt:lpwstr>
  </property>
  <property fmtid="{D5CDD505-2E9C-101B-9397-08002B2CF9AE}" pid="3" name="Language">
    <vt:lpwstr>en-GB</vt:lpwstr>
  </property>
  <property fmtid="{D5CDD505-2E9C-101B-9397-08002B2CF9AE}" pid="4" name="Licence">
    <vt:lpwstr>CC BY 4.0</vt:lpwstr>
  </property>
  <property fmtid="{D5CDD505-2E9C-101B-9397-08002B2CF9AE}" pid="5" name="Publication date">
    <vt:lpwstr>2026-10-01</vt:lpwstr>
  </property>
  <property fmtid="{D5CDD505-2E9C-101B-9397-08002B2CF9AE}" pid="6" name="Publisher">
    <vt:lpwstr>Yellow Sapphire Technologies Inc.</vt:lpwstr>
  </property>
  <property fmtid="{D5CDD505-2E9C-101B-9397-08002B2CF9AE}" pid="7" name="Version">
    <vt:lpwstr>1.0</vt:lpwstr>
  </property>
</Properties>
</file>