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module-7-the-implementation-toolkit"/>
      <w:r>
        <w:rPr/>
        <w:t>Module 7: The implementation toolkit</w:t>
      </w:r>
    </w:p>
    <w:p>
      <w:pPr>
        <w:pStyle w:val="Normal"/>
        <w:rPr/>
      </w:pPr>
      <w:r>
        <w:rPr/>
        <w:t>This module puts every artifact in one place, each in its final, standalone form, and gives one person a thirty-day path from “we have no idea what AI we run” to a classified register, named owners, and the first controls live.</w:t>
      </w:r>
    </w:p>
    <w:p>
      <w:pPr>
        <w:pStyle w:val="Normal"/>
        <w:rPr/>
      </w:pPr>
      <w:r>
        <w:rPr/>
        <w:t>If you are starting from zero, walk the thirty-day path in 7.0; it names the artifact for each step. If you are mid-procurement, go straight to the artifact you need from the index below. Each artifact repeats its own instructions, carries its own licence line, and works without its parent module, though the parent module is where its reasoning lives. These are the authoritative versions: where wording here and in a module ever differ, this module governs. Every artifact is also published as a separate editable file (document or spreadsheet format); the front matter says where. Nothing here needs to be retyped. The artifacts define required information: reproducing the same information inside an existing governance or ticketing platform satisfies the framework. And every artifact, once adopted, carries a document control block: document version, prepared by, last updated, next review; the editable files include it, so add it when copying from this page.</w:t>
      </w:r>
    </w:p>
    <w:p>
      <w:pPr>
        <w:pStyle w:val="Normal"/>
        <w:keepNext w:val="true"/>
        <w:rPr/>
      </w:pPr>
      <w:r>
        <w:rPr>
          <w:b/>
          <w:bCs/>
        </w:rPr>
        <w:t>The index.</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82"/>
        <w:gridCol w:w="3376"/>
        <w:gridCol w:w="3741"/>
        <w:gridCol w:w="1598"/>
      </w:tblGrid>
      <w:tr>
        <w:trPr>
          <w:tblHeader w:val="true"/>
          <w:cantSplit w:val="true"/>
        </w:trPr>
        <w:tc>
          <w:tcPr>
            <w:tcW w:w="58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337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Artifact</w:t>
            </w:r>
          </w:p>
        </w:tc>
        <w:tc>
          <w:tcPr>
            <w:tcW w:w="374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Use it when</w:t>
            </w:r>
          </w:p>
        </w:tc>
        <w:tc>
          <w:tcPr>
            <w:tcW w:w="159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Parent</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One-page orientation</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Briefing leadership; asking for the four role appointments</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1</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7.2</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worksheet</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Classifying any AI use case, new or already live</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2</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7.3</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due diligence checklist</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Scoring vendors before signature</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4</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7.4</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clause library</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Negotiating the contract; briefing local counsel</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4</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7.5</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RACI and role definition pack</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Appointing the four roles; writing the appointment letters</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3</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7.6</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readiness pack (gate G2 and G3 cover document, with the data checklist)</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readiness and go-live gates</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Modules 5 and 6, new cover document</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7.7</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Stage-by-stage lifecycle checklist</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Running a deployment start to finish</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6</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7.8</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plan template</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Before go-live, and at every G4 review</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6</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7.9</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 notice template</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Publishing the challenge route to affected people</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6</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7.10</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response template</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moment the incident question is asked</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Module 6, new form</w:t>
            </w:r>
          </w:p>
        </w:tc>
      </w:tr>
      <w:tr>
        <w:trPr>
          <w:cantSplit w:val="true"/>
        </w:trPr>
        <w:tc>
          <w:tcPr>
            <w:tcW w:w="58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7.11</w:t>
            </w:r>
          </w:p>
        </w:tc>
        <w:tc>
          <w:tcPr>
            <w:tcW w:w="337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register</w:t>
            </w:r>
          </w:p>
        </w:tc>
        <w:tc>
          <w:tcPr>
            <w:tcW w:w="374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Always; it is the living index of everything above</w:t>
            </w:r>
          </w:p>
        </w:tc>
        <w:tc>
          <w:tcPr>
            <w:tcW w:w="15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New, defined here</w:t>
            </w:r>
          </w:p>
        </w:tc>
      </w:tr>
    </w:tbl>
    <w:p>
      <w:pPr>
        <w:pStyle w:val="Normal"/>
        <w:spacing w:before="160" w:after="100"/>
        <w:rPr/>
      </w:pPr>
      <w:r>
        <w:rPr/>
        <w:t>Two artifacts are new in this module: the incident response template (7.10), which Module 6 defined in prose and this module turns into a form, and the system register (7.11). One is new as a cover document: the readiness pack (7.6) binds the Module 5 data checklist and the Module 6 validation evidence into the single document the Independent Reviewer signs.</w:t>
      </w:r>
    </w:p>
    <w:p>
      <w:pPr>
        <w:pStyle w:val="Heading2"/>
        <w:rPr/>
      </w:pPr>
      <w:bookmarkStart w:id="1" w:name="the-thirty-day-path"/>
      <w:r>
        <w:rPr/>
        <w:t>7.0 The thirty-day path</w:t>
      </w:r>
    </w:p>
    <w:p>
      <w:pPr>
        <w:pStyle w:val="Normal"/>
        <w:rPr/>
      </w:pPr>
      <w:r>
        <w:rPr/>
        <w:t>For the institution that has systems already running, no governance around them, and one person (you) with part of their time. Each step names its artifact and its output. The path assumes roughly two working days per week (a framework default); where you have less, the weeks stretch and the order holds. It starts with a short written directive from leadership adopting the framework and instructing departments to answer week 1’s question (the sign-off block on Artifact 7.1 exists for this).</w:t>
      </w:r>
    </w:p>
    <w:p>
      <w:pPr>
        <w:pStyle w:val="Normal"/>
        <w:rPr/>
      </w:pPr>
      <w:r>
        <w:rPr>
          <w:b/>
          <w:bCs/>
        </w:rPr>
        <w:t>Week 1: find everything.</w:t>
      </w:r>
    </w:p>
    <w:p>
      <w:pPr>
        <w:pStyle w:val="ListParagraph"/>
        <w:numPr>
          <w:ilvl w:val="0"/>
          <w:numId w:val="1"/>
        </w:numPr>
        <w:rPr/>
      </w:pPr>
      <w:r>
        <w:rPr/>
        <w:t>Ask IT for the software asset inventory and the identity provider’s list of connected applications.</w:t>
      </w:r>
    </w:p>
    <w:p>
      <w:pPr>
        <w:pStyle w:val="ListParagraph"/>
        <w:numPr>
          <w:ilvl w:val="0"/>
          <w:numId w:val="1"/>
        </w:numPr>
        <w:rPr/>
      </w:pPr>
      <w:r>
        <w:rPr/>
        <w:t>Review accounts payable records for AI-related line items.</w:t>
      </w:r>
    </w:p>
    <w:p>
      <w:pPr>
        <w:pStyle w:val="ListParagraph"/>
        <w:numPr>
          <w:ilvl w:val="0"/>
          <w:numId w:val="1"/>
        </w:numPr>
        <w:rPr/>
      </w:pPr>
      <w:r>
        <w:rPr/>
        <w:t>Network and web logs can complete the picture where your policy and local law allow their use for this purpose (check locally).</w:t>
      </w:r>
    </w:p>
    <w:p>
      <w:pPr>
        <w:pStyle w:val="ListParagraph"/>
        <w:numPr>
          <w:ilvl w:val="0"/>
          <w:numId w:val="1"/>
        </w:numPr>
        <w:rPr/>
      </w:pPr>
      <w:r>
        <w:rPr/>
        <w:t>Ask every department head one question by email (“which tools in your team produce text, scores, predictions, or decisions automatically? Include free ones”) and send a reminder a week later.</w:t>
      </w:r>
    </w:p>
    <w:p>
      <w:pPr>
        <w:pStyle w:val="Normal"/>
        <w:rPr/>
      </w:pPr>
      <w:r>
        <w:rPr/>
        <w:t>Open the system register (7.11) and give every finding a row, even the embarrassing ones. Output: a register with every AI use in the institution on it, owner column empty.</w:t>
      </w:r>
    </w:p>
    <w:p>
      <w:pPr>
        <w:pStyle w:val="Normal"/>
        <w:rPr/>
      </w:pPr>
      <w:r>
        <w:rPr>
          <w:b/>
          <w:bCs/>
        </w:rPr>
        <w:t>Week 2: classify everything.</w:t>
      </w:r>
      <w:r>
        <w:rPr/>
        <w:t xml:space="preserve"> Run the risk worksheet (7.2) on each row, quickest first, and get each classification confirmed by a second person per the worksheet’s signature rule. Anything that hits the escalation list stops and routes to legal review. Output: every register row carries a tier and two signatures.</w:t>
      </w:r>
    </w:p>
    <w:p>
      <w:pPr>
        <w:pStyle w:val="Normal"/>
        <w:rPr/>
      </w:pPr>
      <w:r>
        <w:rPr>
          <w:b/>
          <w:bCs/>
        </w:rPr>
        <w:t>Week 3: get owners named.</w:t>
      </w:r>
      <w:r>
        <w:rPr/>
        <w:t xml:space="preserve"> Send leadership the one-page orientation (7.1) with your register attached; the meeting you are asking for has one agenda item: appointing owners for every classified system per the Module 2 load table:</w:t>
      </w:r>
    </w:p>
    <w:p>
      <w:pPr>
        <w:pStyle w:val="ListParagraph"/>
        <w:numPr>
          <w:ilvl w:val="0"/>
          <w:numId w:val="6"/>
        </w:numPr>
        <w:rPr/>
      </w:pPr>
      <w:r>
        <w:rPr/>
        <w:t>All four roles for each Tier 2 system.</w:t>
      </w:r>
    </w:p>
    <w:p>
      <w:pPr>
        <w:pStyle w:val="ListParagraph"/>
        <w:numPr>
          <w:ilvl w:val="0"/>
          <w:numId w:val="7"/>
        </w:numPr>
        <w:rPr/>
      </w:pPr>
      <w:r>
        <w:rPr/>
        <w:t>A System Owner, Operational Lead, and Data Steward for Tier 3.</w:t>
      </w:r>
    </w:p>
    <w:p>
      <w:pPr>
        <w:pStyle w:val="ListParagraph"/>
        <w:numPr>
          <w:ilvl w:val="0"/>
          <w:numId w:val="8"/>
        </w:numPr>
        <w:rPr/>
      </w:pPr>
      <w:r>
        <w:rPr/>
        <w:t>A portfolio System Owner and an Operational Lead for the Tier 4 tools.</w:t>
      </w:r>
    </w:p>
    <w:p>
      <w:pPr>
        <w:pStyle w:val="ListParagraph"/>
        <w:numPr>
          <w:ilvl w:val="0"/>
          <w:numId w:val="9"/>
        </w:numPr>
        <w:rPr/>
      </w:pPr>
      <w:r>
        <w:rPr/>
        <w:t>The Independent Reviewer arrangement (the role pack in 7.5 makes the appointments a signature).</w:t>
      </w:r>
    </w:p>
    <w:p>
      <w:pPr>
        <w:pStyle w:val="Normal"/>
        <w:rPr/>
      </w:pPr>
      <w:r>
        <w:rPr/>
        <w:t>Write the acceptable-use note for each general-purpose tool (rule 1 on the worksheet). Output: no classified row with an empty owner column; users of general tools told what the tools are for.</w:t>
      </w:r>
    </w:p>
    <w:p>
      <w:pPr>
        <w:pStyle w:val="Normal"/>
        <w:rPr/>
      </w:pPr>
      <w:r>
        <w:rPr>
          <w:b/>
          <w:bCs/>
        </w:rPr>
        <w:t>Week 4: put the first controls on the riskiest thing.</w:t>
      </w:r>
      <w:r>
        <w:rPr/>
        <w:t xml:space="preserve"> Take the highest-tier system that is live today. With its new Operational Lead: draft its monitoring plan (7.8) from whatever baseline data exists, publish the appeal notice (7.9) where its decisions land, and pull its contract to check three things against the clause library (7.4): can we exit, can the vendor update silently, and who owns our data. For a live Tier 2 system, gaps in exit, update control, or data rights do not wait: the System Owner decides within 30 days (a framework default) between opening renegotiation with the vendor now and signing a written, dated risk acceptance that leadership sees. Gaps on lower-tier systems go on a renewal fix list, dated for the next negotiation. Output, day 30: a one-page status to leadership: what we run, what tier, who owns it, what the first monitoring says, and the contract gaps with dates.</w:t>
      </w:r>
    </w:p>
    <w:p>
      <w:pPr>
        <w:pStyle w:val="Normal"/>
        <w:rPr/>
      </w:pPr>
      <w:bookmarkStart w:id="2" w:name="the-thirty-day-path"/>
      <w:r>
        <w:rPr/>
        <w:t>The path deliberately postpones full validation of already-live systems (schedule it as 6.2 late validation at each system’s first G4 date) and the full procurement machinery, which begins the day the next purchase does. Scale notes: a five-person organisation runs the same path with the roles doubled up, keeping the one separation (the person who proposes a system never confirms its classification or signs its gates alone); a very large estate runs weeks 1 and 2 per division into one consolidated register, and the register’s monthly review becomes the portfolio governance meeting.</w:t>
      </w:r>
      <w:bookmarkEnd w:id="2"/>
    </w:p>
    <w:p>
      <w:pPr>
        <w:pStyle w:val="Heading2"/>
        <w:rPr/>
      </w:pPr>
      <w:r>
        <w:rPr/>
        <w:t>7.0.1 What the completed toolkit evidences</w:t>
      </w:r>
    </w:p>
    <w:p>
      <w:pPr>
        <w:pStyle w:val="Normal"/>
        <w:keepNext w:val="true"/>
        <w:rPr/>
      </w:pPr>
      <w:r>
        <w:rPr/>
        <w:t>Filled in, these artifacts are the paper trail an auditor, regulator, board, or ministry asks for. The mapping runs through the instruments named in Module 1:</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761"/>
        <w:gridCol w:w="5536"/>
      </w:tblGrid>
      <w:tr>
        <w:trPr>
          <w:tblHeader w:val="true"/>
          <w:cantSplit w:val="true"/>
        </w:trPr>
        <w:tc>
          <w:tcPr>
            <w:tcW w:w="37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Evidence the toolkit produces</w:t>
            </w:r>
          </w:p>
        </w:tc>
        <w:tc>
          <w:tcPr>
            <w:tcW w:w="553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What it evidences, at concept level</w:t>
            </w:r>
          </w:p>
        </w:tc>
      </w:tr>
      <w:tr>
        <w:trPr>
          <w:cantSplit w:val="true"/>
        </w:trPr>
        <w:tc>
          <w:tcPr>
            <w:tcW w:w="3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register (7.11) and signed worksheets (7.2)</w:t>
            </w:r>
          </w:p>
        </w:tc>
        <w:tc>
          <w:tcPr>
            <w:tcW w:w="553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the EU AI Act’s risk logic; NIST AI RMF Map</w:t>
            </w:r>
          </w:p>
        </w:tc>
      </w:tr>
      <w:tr>
        <w:trPr>
          <w:cantSplit w:val="true"/>
        </w:trPr>
        <w:tc>
          <w:tcPr>
            <w:tcW w:w="3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RACI, role appointment letters (7.5), and gate signatures (7.6, 7.7)</w:t>
            </w:r>
          </w:p>
        </w:tc>
        <w:tc>
          <w:tcPr>
            <w:tcW w:w="553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and human oversight: the Act’s deployer duties; AI RMF Govern; ISO/IEC 42001 leadership clauses</w:t>
            </w:r>
          </w:p>
        </w:tc>
      </w:tr>
      <w:tr>
        <w:trPr>
          <w:cantSplit w:val="true"/>
        </w:trPr>
        <w:tc>
          <w:tcPr>
            <w:tcW w:w="3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due diligence checklist (7.3), clause outcomes (7.4), and data checklist (7.6a)</w:t>
            </w:r>
          </w:p>
        </w:tc>
        <w:tc>
          <w:tcPr>
            <w:tcW w:w="553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and data governance: the Act’s documentation exchange; ISO/IEC 42001 supplier and data expectations</w:t>
            </w:r>
          </w:p>
        </w:tc>
      </w:tr>
      <w:tr>
        <w:trPr>
          <w:cantSplit w:val="true"/>
        </w:trPr>
        <w:tc>
          <w:tcPr>
            <w:tcW w:w="37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monitoring plans (7.8), incident records (7.10), and appeal logs (7.11)</w:t>
            </w:r>
          </w:p>
        </w:tc>
        <w:tc>
          <w:tcPr>
            <w:tcW w:w="553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 and improvement: the Act’s monitoring duties; AI RMF Measure and Manage; ISO/IEC 42001 operation, performance evaluation, and improvement</w:t>
            </w:r>
            <w:bookmarkStart w:id="3" w:name="what-the-completed-toolkit-evidences"/>
            <w:bookmarkEnd w:id="3"/>
          </w:p>
        </w:tc>
      </w:tr>
    </w:tbl>
    <w:p>
      <w:pPr>
        <w:pStyle w:val="Heading2"/>
        <w:pageBreakBefore/>
        <w:rPr/>
      </w:pPr>
      <w:r>
        <w:rPr/>
        <w:t>7.1 The one-page orientation (from Module 1)</w:t>
      </w:r>
    </w:p>
    <w:p>
      <w:pPr>
        <w:pStyle w:val="Boxtext"/>
        <w:rPr/>
      </w:pPr>
      <w:r>
        <w:rPr>
          <w:b/>
          <w:bCs/>
        </w:rPr>
        <w:t>Standalone artifact.</w:t>
      </w:r>
      <w:r>
        <w:rPr/>
        <w:t xml:space="preserve"> Open AI Governance and Deployment Framework, Version 1.0. Toolkit edition. Licence: CC BY 4.0. Purpose: a single page for a director, board member, minister, or executive whose institution is adopting this framework. It is designed to be sent ahead of the meeting where you ask for the four appointments at the bottom.</w:t>
      </w:r>
    </w:p>
    <w:p>
      <w:pPr>
        <w:pStyle w:val="Heading3"/>
        <w:rPr/>
      </w:pPr>
      <w:bookmarkStart w:id="4" w:name="X09f2437fe6f2c7a83b0e8e0e39b05d520dc2d38"/>
      <w:r>
        <w:rPr/>
        <w:t>AI governance for institutions that deploy: one page</w:t>
      </w:r>
    </w:p>
    <w:p>
      <w:pPr>
        <w:pStyle w:val="Normal"/>
        <w:rPr/>
      </w:pPr>
      <w:r>
        <w:rPr>
          <w:b/>
          <w:bCs/>
        </w:rPr>
        <w:t>The situation.</w:t>
      </w:r>
      <w:r>
        <w:rPr/>
        <w:t xml:space="preserve"> Our institution buys and runs AI systems; it does not build them. Almost all AI governance guidance is written for builders. This framework is an operating manual for our seat: what to demand from vendors, who is accountable internally, what to check before a system goes live, what to watch afterwards, and how to switch off.</w:t>
      </w:r>
    </w:p>
    <w:p>
      <w:pPr>
        <w:pStyle w:val="Normal"/>
        <w:rPr/>
      </w:pPr>
      <w:r>
        <w:rPr>
          <w:b/>
          <w:bCs/>
        </w:rPr>
        <w:t>The framework we are adopting.</w:t>
      </w:r>
      <w:r>
        <w:rPr/>
        <w:t xml:space="preserve"> The Open AI Governance and Deployment Framework (Version 1.0), a public document published under an open licence. It maps onto the EU AI Act, the NIST AI Risk Management Framework, ISO/IEC 42001, the OECD AI Principles, and the UNESCO Recommendation on the Ethics of AI, so work done under it is evidence of movement towards recognised standards, though the framework certifies compliance with none of them. It is not legal advice, and it prescribes where legal and specialist review is required.</w:t>
      </w:r>
    </w:p>
    <w:p>
      <w:pPr>
        <w:pStyle w:val="Normal"/>
        <w:rPr/>
      </w:pPr>
      <w:r>
        <w:rPr>
          <w:b/>
          <w:bCs/>
        </w:rPr>
        <w:t>The five commitments it runs on.</w:t>
      </w:r>
      <w:r>
        <w:rPr/>
        <w:br/>
        <w:t>1. Accountability names a person: every system has one named owner with the authority to stop it.</w:t>
        <w:br/>
        <w:t>2. Evidence comes before trust: no vendor claim without a document; no high-stakes go-live without a test on our own data.</w:t>
        <w:br/>
        <w:t>3. Oversight carries real authority: the humans reviewing AI outputs can override them, and have the training and time to do it.</w:t>
        <w:br/>
        <w:t>4. Watching continues after go-live: defined metrics, a defined reviewer, defined thresholds for action, and a channel for affected people to challenge a decision.</w:t>
        <w:br/>
        <w:t>5. We can always leave: every contract includes exit and data return; every system has a switch-off plan.</w:t>
      </w:r>
    </w:p>
    <w:p>
      <w:pPr>
        <w:pStyle w:val="Normal"/>
        <w:rPr/>
      </w:pPr>
      <w:r>
        <w:rPr>
          <w:b/>
          <w:bCs/>
        </w:rPr>
        <w:t>What this asks of leadership.</w:t>
      </w:r>
      <w:r>
        <w:rPr/>
        <w:br/>
        <w:t>1. Appoint four roles (existing staff hold them alongside their jobs, with the monthly time cost stated per role): a System Owner per AI system, an Operational Lead, a Data Steward, and an Independent Reviewer for go-live sign-offs.</w:t>
        <w:br/>
        <w:t>2. Require the risk classification worksheet for every AI use case, existing and proposed, including free tools.</w:t>
        <w:br/>
        <w:t>3. Require the procurement gate: no AI contract is signed until the vendor due diligence checklist passes for the system’s risk tier.</w:t>
        <w:br/>
        <w:t>4. Receive the monitoring summary: one page per month on every high-stakes system, from the System Owner.</w:t>
      </w:r>
    </w:p>
    <w:p>
      <w:pPr>
        <w:pStyle w:val="Normal"/>
        <w:rPr/>
      </w:pPr>
      <w:r>
        <w:rPr>
          <w:b/>
          <w:bCs/>
        </w:rPr>
        <w:t>What it costs.</w:t>
      </w:r>
      <w:r>
        <w:rPr/>
        <w:t xml:space="preserve"> Staff hours, stated per role in the framework, and paid specialist help at the points named in Module 1.4: legal review, data protection advice, security testing, adversarial testing, and domain review. What it prevents: buying systems that do not work on our population, contracts we cannot exit, silent degradation in service, and standing unprepared in front of a regulator, an auditor, or an affected person.</w:t>
      </w:r>
    </w:p>
    <w:p>
      <w:pPr>
        <w:pStyle w:val="Normal"/>
        <w:keepNext w:val="true"/>
        <w:rPr/>
      </w:pPr>
      <w:r>
        <w:rPr>
          <w:b/>
          <w:bCs/>
        </w:rPr>
        <w:t>Directive and designations.</w:t>
      </w:r>
      <w:r>
        <w:rPr/>
        <w:t xml:space="preserve"> By signing, leadership adopts this framework for the institution and mandates the thirty-day path (Module 7), including the instruction to departments to answer its first-week question.</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339"/>
        <w:gridCol w:w="2479"/>
        <w:gridCol w:w="2480"/>
      </w:tblGrid>
      <w:tr>
        <w:trPr>
          <w:tblHeader w:val="true"/>
          <w:cantSplit w:val="true"/>
        </w:trPr>
        <w:tc>
          <w:tcPr>
            <w:tcW w:w="433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247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for [system]</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33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 arrangement</w:t>
            </w:r>
          </w:p>
        </w:tc>
        <w:tc>
          <w:tcPr>
            <w:tcW w:w="247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t>Authorised by (name, title, signature): ____________ Date: ____________</w:t>
      </w:r>
    </w:p>
    <w:p>
      <w:pPr>
        <w:pStyle w:val="Normal"/>
        <w:rPr/>
      </w:pPr>
      <w:bookmarkStart w:id="5" w:name="X09f2437fe6f2c7a83b0e8e0e39b05d520dc2d38"/>
      <w:r>
        <w:rPr>
          <w:i/>
          <w:iCs/>
        </w:rPr>
        <w:t>Prepared by: ____________ For: ____________ Date: ____________</w:t>
      </w:r>
      <w:bookmarkEnd w:id="5"/>
    </w:p>
    <w:p>
      <w:pPr>
        <w:pStyle w:val="Heading2"/>
        <w:pageBreakBefore/>
        <w:rPr/>
      </w:pPr>
      <w:bookmarkStart w:id="6" w:name="Xaa160e5e74268da10fd84c617dc156af7f1db68"/>
      <w:r>
        <w:rPr/>
        <w:t>7.2 Risk classification worksheet (from Module 2)</w:t>
      </w:r>
    </w:p>
    <w:p>
      <w:pPr>
        <w:pStyle w:val="Boxtext"/>
        <w:rPr/>
      </w:pPr>
      <w:r>
        <w:rPr>
          <w:b/>
          <w:bCs/>
        </w:rPr>
        <w:t>Standalone artifact.</w:t>
      </w:r>
      <w:r>
        <w:rPr/>
        <w:t xml:space="preserve"> Open AI Governance and Deployment Framework, Version 1.0. Toolkit edition. Licence: CC BY 4.0. One worksheet per use case, including free tools and systems already live. It is designed to be completed in under an hour once the system description (Module 4, section 4.2.1) is in hand. It is an operating tool and it is not legal advice; where a law classifies your system, the law’s classification governs.</w:t>
      </w:r>
    </w:p>
    <w:p>
      <w:pPr>
        <w:pStyle w:val="Normal"/>
        <w:keepNext w:val="true"/>
        <w:rPr/>
      </w:pPr>
      <w:r>
        <w:rPr>
          <w:b/>
          <w:bCs/>
        </w:rPr>
        <w:t>Use case being classified</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use case, in one sentence (what decision or output, for whom)</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Users of the output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People affected by the output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Expected volume (outputs per week)</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Model or product version reviewed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Deployment location(s) and sites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Step 1: Escalation list.</w:t>
      </w:r>
      <w:r>
        <w:rPr/>
        <w:t xml:space="preserve"> Tick any that apply.</w:t>
      </w:r>
    </w:p>
    <w:p>
      <w:pPr>
        <w:pStyle w:val="Checklistitem"/>
        <w:rPr/>
      </w:pPr>
      <w:r>
        <w:rPr/>
        <w:t>☐</w:t>
      </w:r>
      <w:r>
        <w:rPr/>
        <w:tab/>
        <w:t>Scores or ranks people’s general trustworthiness or social behaviour across contexts</w:t>
      </w:r>
    </w:p>
    <w:p>
      <w:pPr>
        <w:pStyle w:val="Checklistitem"/>
        <w:rPr/>
      </w:pPr>
      <w:r>
        <w:rPr/>
        <w:t>☐</w:t>
      </w:r>
      <w:r>
        <w:rPr/>
        <w:tab/>
        <w:t>Biometric identification in public spaces, or biometric categorisation of people</w:t>
      </w:r>
    </w:p>
    <w:p>
      <w:pPr>
        <w:pStyle w:val="Checklistitem"/>
        <w:rPr/>
      </w:pPr>
      <w:r>
        <w:rPr/>
        <w:t>☐</w:t>
      </w:r>
      <w:r>
        <w:rPr/>
        <w:tab/>
        <w:t>Infers emotions or protected characteristics about employees, students, or the public</w:t>
      </w:r>
    </w:p>
    <w:p>
      <w:pPr>
        <w:pStyle w:val="Checklistitem"/>
        <w:rPr/>
      </w:pPr>
      <w:r>
        <w:rPr/>
        <w:t>☐</w:t>
      </w:r>
      <w:r>
        <w:rPr/>
        <w:tab/>
        <w:t>Adverse decisions about people, fully automated, with no individual human review and no appeal</w:t>
      </w:r>
    </w:p>
    <w:p>
      <w:pPr>
        <w:pStyle w:val="Checklistitem"/>
        <w:rPr/>
      </w:pPr>
      <w:r>
        <w:rPr/>
        <w:t>☐</w:t>
      </w:r>
      <w:r>
        <w:rPr/>
        <w:tab/>
        <w:t>Inputs include protected characteristics or close proxies, in a system touching decisions about people (rule 5)</w:t>
      </w:r>
    </w:p>
    <w:p>
      <w:pPr>
        <w:pStyle w:val="Checklistitem"/>
        <w:rPr/>
      </w:pPr>
      <w:r>
        <w:rPr/>
        <w:t>☐</w:t>
      </w:r>
      <w:r>
        <w:rPr/>
        <w:tab/>
        <w:t>Known to be prohibited or restricted by a law that applies to us (state which), or legal status unknown (if unknown, do not decide: route this worksheet to legal review before classifying further): ____________</w:t>
      </w:r>
    </w:p>
    <w:p>
      <w:pPr>
        <w:pStyle w:val="Normal"/>
        <w:rPr/>
      </w:pPr>
      <w:r>
        <w:rPr>
          <w:i/>
          <w:iCs/>
        </w:rPr>
        <w:t>Any tick: STOP. Tier 1. Route to legal counsel and a relevant specialist with this worksheet attached. Leadership sign-off required to proceed on any path.</w:t>
      </w:r>
    </w:p>
    <w:p>
      <w:pPr>
        <w:pStyle w:val="Normal"/>
        <w:rPr/>
      </w:pPr>
      <w:r>
        <w:rPr>
          <w:b/>
          <w:bCs/>
        </w:rPr>
        <w:t>Step 2: Decision question.</w:t>
      </w:r>
      <w:r>
        <w:rPr/>
        <w:t xml:space="preserve"> Does the system inform or make decisions that can be adverse to an identifiable person (care, money or credit, benefits, housing, education, employment, essential services, legal standing, liberty)?</w:t>
      </w:r>
    </w:p>
    <w:p>
      <w:pPr>
        <w:pStyle w:val="Checklistitem"/>
        <w:rPr/>
      </w:pPr>
      <w:r>
        <w:rPr/>
        <w:t>☐</w:t>
      </w:r>
      <w:r>
        <w:rPr/>
        <w:tab/>
        <w:t xml:space="preserve">Yes → </w:t>
      </w:r>
      <w:r>
        <w:rPr>
          <w:b/>
          <w:bCs/>
        </w:rPr>
        <w:t>Tier 2.</w:t>
      </w:r>
      <w:r>
        <w:rPr/>
        <w:t xml:space="preserve"> Go to Step 4. ☐ No → Step 3.</w:t>
      </w:r>
    </w:p>
    <w:p>
      <w:pPr>
        <w:pStyle w:val="Normal"/>
        <w:rPr/>
      </w:pPr>
      <w:r>
        <w:rPr/>
        <w:t>One sentence of reasoning: ____________</w:t>
      </w:r>
    </w:p>
    <w:p>
      <w:pPr>
        <w:pStyle w:val="Normal"/>
        <w:rPr/>
      </w:pPr>
      <w:r>
        <w:rPr>
          <w:b/>
          <w:bCs/>
        </w:rPr>
        <w:t>Step 3: Dependence question.</w:t>
      </w:r>
      <w:r>
        <w:rPr/>
        <w:t xml:space="preserve"> Do the outputs steer operations that people depend on, without deciding about any identifiable person?</w:t>
      </w:r>
    </w:p>
    <w:p>
      <w:pPr>
        <w:pStyle w:val="Checklistitem"/>
        <w:rPr/>
      </w:pPr>
      <w:r>
        <w:rPr/>
        <w:t>☐</w:t>
      </w:r>
      <w:r>
        <w:rPr/>
        <w:tab/>
        <w:t xml:space="preserve">Yes → </w:t>
      </w:r>
      <w:r>
        <w:rPr>
          <w:b/>
          <w:bCs/>
        </w:rPr>
        <w:t>Tier 3.</w:t>
      </w:r>
      <w:r>
        <w:rPr/>
        <w:t xml:space="preserve"> ☐ No → </w:t>
      </w:r>
      <w:r>
        <w:rPr>
          <w:b/>
          <w:bCs/>
        </w:rPr>
        <w:t>Tier 4.</w:t>
      </w:r>
      <w:r>
        <w:rPr/>
        <w:t xml:space="preserve"> Go to Step 4.</w:t>
      </w:r>
    </w:p>
    <w:p>
      <w:pPr>
        <w:pStyle w:val="Normal"/>
        <w:rPr/>
      </w:pPr>
      <w:r>
        <w:rPr/>
        <w:t>One sentence of reasoning: ____________</w:t>
      </w:r>
    </w:p>
    <w:p>
      <w:pPr>
        <w:pStyle w:val="Normal"/>
        <w:rPr/>
      </w:pPr>
      <w:r>
        <w:rPr>
          <w:b/>
          <w:bCs/>
        </w:rPr>
        <w:t>Step 4: Modifiers.</w:t>
      </w:r>
      <w:r>
        <w:rPr/>
        <w:t xml:space="preserve"> These move the case up only.</w:t>
      </w:r>
    </w:p>
    <w:p>
      <w:pPr>
        <w:pStyle w:val="ListParagraph"/>
        <w:numPr>
          <w:ilvl w:val="0"/>
          <w:numId w:val="10"/>
        </w:numPr>
        <w:rPr/>
      </w:pPr>
      <w:r>
        <w:rPr/>
        <w:t>Autonomy: will individual outputs take effect without prior human review? ☐ No ☐ Yes → Tier 3 or 4 moves up one tier; at Tier 2 this is Step 1 territory: STOP and escalate.</w:t>
        <w:br/>
        <w:t>If human review is claimed, show the arithmetic: (outputs per week ______ ÷ reviewers ______) ÷ working days per week ______ = ______ reviews per reviewer per day. Is that real review? ☐ Yes ☐ No → treat as no prior human review.</w:t>
      </w:r>
    </w:p>
    <w:p>
      <w:pPr>
        <w:pStyle w:val="ListParagraph"/>
        <w:numPr>
          <w:ilvl w:val="0"/>
          <w:numId w:val="11"/>
        </w:numPr>
        <w:rPr/>
      </w:pPr>
      <w:r>
        <w:rPr/>
        <w:t>Detectability: if an output were wrong, would anyone notice within days? State the mechanism that would notice it: ____________</w:t>
        <w:br/>
        <w:t>☐ Yes ☐ No → Tier 3 or 4 moves up one tier; at Tier 2, the strict Module 6 path is mandated (shadow mode before go-live; monitoring designed around unnoticed failures).</w:t>
      </w:r>
    </w:p>
    <w:p>
      <w:pPr>
        <w:pStyle w:val="Normal"/>
        <w:keepNext w:val="true"/>
        <w:rPr/>
      </w:pPr>
      <w:r>
        <w:rPr>
          <w:b/>
          <w:bCs/>
        </w:rPr>
        <w:t>Result</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8134"/>
        <w:gridCol w:w="1163"/>
      </w:tblGrid>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Final tier</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load acknowledged (attach or reference the tier table, Module 2.3)</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Acceptable-use note written (general-purpose tools only, rule 1)</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Re-classification triggers acknowledged (rule 4), plus any system-specific trigger, stated: ____________</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13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Next scheduled review date (12 months Tier 2 and 3; 24 months Tier 4)</w:t>
            </w:r>
          </w:p>
        </w:tc>
        <w:tc>
          <w:tcPr>
            <w:tcW w:w="11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Signatures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719"/>
        <w:gridCol w:w="1858"/>
        <w:gridCol w:w="1859"/>
        <w:gridCol w:w="1861"/>
      </w:tblGrid>
      <w:tr>
        <w:trPr>
          <w:tblHeader w:val="true"/>
          <w:cantSplit w:val="true"/>
        </w:trPr>
        <w:tc>
          <w:tcPr>
            <w:tcW w:w="37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Classified by</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Confirmed by (System Owner for Tier 2; a peer outside the proposing team otherwise)</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7" w:name="Xaa160e5e74268da10fd84c617dc156af7f1db68"/>
      <w:r>
        <w:rPr>
          <w:i/>
          <w:iCs/>
        </w:rPr>
        <w:t>File this worksheet in the system register (Module 7, Artifact 7.11).</w:t>
      </w:r>
      <w:bookmarkEnd w:id="7"/>
    </w:p>
    <w:p>
      <w:pPr>
        <w:pStyle w:val="Heading2"/>
        <w:pageBreakBefore/>
        <w:rPr/>
      </w:pPr>
      <w:r>
        <w:rPr/>
        <w:t>7.3 Vendor due diligence checklist (from Module 4)</w:t>
      </w:r>
    </w:p>
    <w:p>
      <w:pPr>
        <w:pStyle w:val="Boxtext"/>
        <w:rPr/>
      </w:pPr>
      <w:r>
        <w:rPr>
          <w:b/>
          <w:bCs/>
        </w:rPr>
        <w:t>Standalone artifact.</w:t>
      </w:r>
      <w:r>
        <w:rPr/>
        <w:t xml:space="preserve"> Open AI Governance and Deployment Framework, Version 1.0. Toolkit edition. Licence: CC BY 4.0. This checklist is an operating tool and it is not legal advice.</w:t>
      </w:r>
    </w:p>
    <w:p>
      <w:pPr>
        <w:pStyle w:val="Normal"/>
        <w:rPr/>
      </w:pPr>
      <w:r>
        <w:rPr>
          <w:b/>
          <w:bCs/>
        </w:rPr>
        <w:t>How to score.</w:t>
      </w:r>
      <w:r>
        <w:rPr/>
        <w:t xml:space="preserve"> For each item, enter: </w:t>
      </w:r>
      <w:r>
        <w:rPr>
          <w:b/>
          <w:bCs/>
        </w:rPr>
        <w:t>0</w:t>
      </w:r>
      <w:r>
        <w:rPr/>
        <w:t xml:space="preserve"> (absent, refused, or answered only verbally), </w:t>
      </w:r>
      <w:r>
        <w:rPr>
          <w:b/>
          <w:bCs/>
        </w:rPr>
        <w:t>1</w:t>
      </w:r>
      <w:r>
        <w:rPr/>
        <w:t xml:space="preserve"> (partial, or promised in writing but not yet delivered), </w:t>
      </w:r>
      <w:r>
        <w:rPr>
          <w:b/>
          <w:bCs/>
        </w:rPr>
        <w:t>2</w:t>
      </w:r>
      <w:r>
        <w:rPr/>
        <w:t xml:space="preserve"> (delivered in a written document that will be attached to the contract). Items marked ★ are disqualifying items: a score of 0 on any ★ item fails the checklist for a Tier 2 purchase regardless of the total.</w:t>
      </w:r>
    </w:p>
    <w:p>
      <w:pPr>
        <w:pStyle w:val="Normal"/>
        <w:keepNext w:val="true"/>
        <w:rPr/>
      </w:pPr>
      <w:r>
        <w:rPr>
          <w:b/>
          <w:bCs/>
        </w:rPr>
        <w:t>Pass thresholds.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599"/>
        <w:gridCol w:w="6698"/>
      </w:tblGrid>
      <w:tr>
        <w:trPr>
          <w:tblHeader w:val="true"/>
          <w:cantSplit w:val="true"/>
        </w:trPr>
        <w:tc>
          <w:tcPr>
            <w:tcW w:w="259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(from the Module 2 worksheet)</w:t>
            </w:r>
          </w:p>
        </w:tc>
        <w:tc>
          <w:tcPr>
            <w:tcW w:w="669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Threshold</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2 (high stakes)</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 ★ item at 0, and at least 80 percent of all available points across sections A to F</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3 (operational)</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 0 on items A1, B1, D1, D3, F1, and on E3 where Section E applies, and at least 60 percent of available points on sections A, B, D, F</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 (low stakes)</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Items D2, F1, F3 all at 2. Other sections optional</w:t>
            </w:r>
          </w:p>
        </w:tc>
      </w:tr>
    </w:tbl>
    <w:p>
      <w:pPr>
        <w:pStyle w:val="Normal"/>
        <w:keepNext w:val="true"/>
        <w:spacing w:before="160" w:after="100"/>
        <w:rPr/>
      </w:pPr>
      <w:r>
        <w:rPr>
          <w:b/>
          <w:bCs/>
        </w:rPr>
        <w:t>Section A: System documentation</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28"/>
        <w:gridCol w:w="6090"/>
        <w:gridCol w:w="2480"/>
      </w:tblGrid>
      <w:tr>
        <w:trPr>
          <w:tblHeader w:val="true"/>
          <w:cantSplit w:val="true"/>
        </w:trPr>
        <w:tc>
          <w:tcPr>
            <w:tcW w:w="72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9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A1 ★</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description document: intended use, excluded uses, inputs, outputs, system type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A2</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General training data description: time period, geography, languages, population coverage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A3 ★</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limitations statement: degradation conditions, failure modes, untested settings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A4</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Instructions for use suitable for training your oversight staff (Module 3)</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B: Performance evidence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24"/>
        <w:gridCol w:w="6093"/>
        <w:gridCol w:w="2481"/>
      </w:tblGrid>
      <w:tr>
        <w:trPr>
          <w:tblHeader w:val="true"/>
          <w:cantSplit w:val="true"/>
        </w:trPr>
        <w:tc>
          <w:tcPr>
            <w:tcW w:w="72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B1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performance claim in writing, each with metric, dataset, and population described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B2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answer to the population question: evidence of measurement on a population like yours, or an honest statement that none exists</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B3</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Subgroup performance breakouts relevant to your setting, or a written statement of what was not measured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B4</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Method described in enough detail to be checked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B5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agreement to acceptance testing on your data, against criteria to be fixed in the contract</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C: Vendor interview (section 4.4)</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12"/>
        <w:gridCol w:w="6305"/>
        <w:gridCol w:w="2481"/>
      </w:tblGrid>
      <w:tr>
        <w:trPr>
          <w:tblHeader w:val="true"/>
          <w:cantSplit w:val="true"/>
        </w:trPr>
        <w:tc>
          <w:tcPr>
            <w:tcW w:w="51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30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C1</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Interview held, answers recorded verbatim, record in the procurement file</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C2</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follow-ups received for every question deferred in the interview</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C3</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confirmed (question 16) that its answers will attach to the contract</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C4</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Reference calls held with at least two comparable customers, notes on file</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D: Data, security, and logging</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37"/>
        <w:gridCol w:w="6081"/>
        <w:gridCol w:w="2480"/>
      </w:tblGrid>
      <w:tr>
        <w:trPr>
          <w:tblHeader w:val="true"/>
          <w:cantSplit w:val="true"/>
        </w:trPr>
        <w:tc>
          <w:tcPr>
            <w:tcW w:w="73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D1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statement of storage, processing, and backup locations, by country</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D2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answer on training use of your data and your users’ inputs, with an off switch</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D3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Audit logging confirmed in writing: what is logged, access, retention, export format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D4</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Security certifications provided with scope statements covering this product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D5</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subcontractor list with access and locations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D6</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history for this product (three years) and notification commitment in hours or days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E: Generative tools only</w:t>
      </w:r>
      <w:r>
        <w:rPr/>
        <w:t xml:space="preserve"> (skip for purely predictive systems)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93"/>
        <w:gridCol w:w="6025"/>
        <w:gridCol w:w="2480"/>
      </w:tblGrid>
      <w:tr>
        <w:trPr>
          <w:tblHeader w:val="true"/>
          <w:cantSplit w:val="true"/>
        </w:trPr>
        <w:tc>
          <w:tcPr>
            <w:tcW w:w="7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2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E1</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Measured factual-error rate with method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E2</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Prompt injection testing evidence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E3 ★</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Training exclusion for your users’ inputs, available and confirmed in writing</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E4</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Per-user logging, exportable by your institution</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F: Contract posture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672"/>
        <w:gridCol w:w="6146"/>
        <w:gridCol w:w="2480"/>
      </w:tblGrid>
      <w:tr>
        <w:trPr>
          <w:tblHeader w:val="true"/>
          <w:cantSplit w:val="true"/>
        </w:trPr>
        <w:tc>
          <w:tcPr>
            <w:tcW w:w="67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14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F1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Exit and portability clause agreed: formats, days, fixed cost, survival</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F2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Audit rights clause agreed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F3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Update and change control clause agreed: notice days, changelog, test window, version hold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F4</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Documentation-as-warranty clause agreed; entire-agreement wording checked accordingly</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F5</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Breach notification hours and incident notification days written into the contract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F6</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Liability cap written as a currency figure; compared against the estimated cost of the worst realistic failure of this system; data breach liability confirmed as sitting outside or above the general cap; local counsel review completed and dated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F7</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termination triggers in the contract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Red flag check (section 4.5).</w:t>
      </w:r>
      <w:r>
        <w:rPr/>
        <w:t xml:space="preserve"> Number of red flags present: ____. One flag: purchase paused until resolved in writing. Two or more on a Tier 2 purchase: process ends with this vendor.</w:t>
      </w:r>
    </w:p>
    <w:p>
      <w:pPr>
        <w:pStyle w:val="Normal"/>
        <w:keepNext w:val="true"/>
        <w:rPr/>
      </w:pPr>
      <w:r>
        <w:rPr>
          <w:b/>
          <w:bCs/>
        </w:rPr>
        <w:t>Result and sign-off</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tier (attach the Module 2 worksheet)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Total score / available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items at 0</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Result (pass / fail / paused)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Completed by (name, role,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Approved at procurement gate (name,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bookmarkStart w:id="8" w:name="X4ff5c2f6a1c21e41483cad95829e3288c281b8b"/>
            <w:bookmarkStart w:id="9" w:name="X4ff5c2f6a1c21e41483cad95829e3288c281b8b"/>
            <w:bookmarkEnd w:id="9"/>
          </w:p>
        </w:tc>
      </w:tr>
    </w:tbl>
    <w:p>
      <w:pPr>
        <w:pStyle w:val="Heading2"/>
        <w:pageBreakBefore/>
        <w:rPr/>
      </w:pPr>
      <w:r>
        <w:rPr/>
        <w:t>7.4 Contract clause library (from Module 4)</w:t>
      </w:r>
    </w:p>
    <w:p>
      <w:pPr>
        <w:pStyle w:val="Boxtext"/>
        <w:rPr/>
      </w:pPr>
      <w:r>
        <w:rPr>
          <w:b/>
          <w:bCs/>
        </w:rPr>
        <w:t>Standalone artifact.</w:t>
      </w:r>
      <w:r>
        <w:rPr/>
        <w:t xml:space="preserve"> Open AI Governance and Deployment Framework, Version 1.0. Toolkit edition. Licence: CC BY 4.0.</w:t>
      </w:r>
    </w:p>
    <w:p>
      <w:pPr>
        <w:pStyle w:val="Boxtext"/>
        <w:rPr/>
      </w:pPr>
      <w:r>
        <w:rPr>
          <w:b/>
          <w:bCs/>
        </w:rPr>
        <w:t>Read this before using any clause.</w:t>
      </w:r>
      <w:r>
        <w:rPr/>
        <w:t xml:space="preserve"> These clauses are drafting guidance written in plain language. They are not legal advice, and contract law differs by country. A clause that works in one jurisdiction may need different words, or may be unenforceable, in another. Before signature, have a lawyer qualified in your jurisdiction adapt and review the final text. Bring them this library and the vendor’s draft together; the comparison will focus their work and reduce their fee. In these clauses, “the Institution” is your organisation, “the Vendor” is the seller, and “the System” is the AI system being purchased. Bracketed items in [square brackets] are numbers or lists you must fill in; a clause with an empty bracket is not finished. Each clause carries a marker: </w:t>
      </w:r>
      <w:r>
        <w:rPr>
          <w:b/>
          <w:bCs/>
        </w:rPr>
        <w:t>(M)</w:t>
      </w:r>
      <w:r>
        <w:rPr/>
        <w:t xml:space="preserve"> mandatory, where walking away beats signing without them for a Tier 2 system; </w:t>
      </w:r>
      <w:r>
        <w:rPr>
          <w:b/>
          <w:bCs/>
        </w:rPr>
        <w:t>(R)</w:t>
      </w:r>
      <w:r>
        <w:rPr/>
        <w:t xml:space="preserve"> recommended, concede only knowingly and in writing.</w:t>
      </w:r>
    </w:p>
    <w:p>
      <w:pPr>
        <w:pStyle w:val="Normal"/>
        <w:rPr/>
      </w:pPr>
      <w:r>
        <w:rPr>
          <w:b/>
          <w:bCs/>
        </w:rPr>
        <w:t>Clause 1: Documentation as warranty (M)</w:t>
      </w:r>
      <w:r>
        <w:rPr/>
        <w:t xml:space="preserve"> The documents listed in Schedule [x] (including the system description, the limitations statement, the performance evidence, and the Vendor’s written tender and interview answers) form part of this contract. The Vendor warrants that they are accurate and complete in all material respects. A material inaccuracy in any of them is a breach of this contract. </w:t>
      </w:r>
      <w:r>
        <w:rPr>
          <w:i/>
          <w:iCs/>
        </w:rPr>
        <w:t>What this protects you from:</w:t>
      </w:r>
      <w:r>
        <w:rPr/>
        <w:t xml:space="preserve"> the sales claims evaporating at the moment you need them; an “entire agreement” clause quietly deleting everything you were told before signing.</w:t>
      </w:r>
    </w:p>
    <w:p>
      <w:pPr>
        <w:pStyle w:val="Normal"/>
        <w:rPr/>
      </w:pPr>
      <w:r>
        <w:rPr>
          <w:b/>
          <w:bCs/>
        </w:rPr>
        <w:t>Clause 2: Acceptance testing (M)</w:t>
      </w:r>
      <w:r>
        <w:rPr/>
        <w:t xml:space="preserve"> The System will not enter live use, and the payment milestone in Schedule [x] will not fall due, until the Institution has tested the System on its own data against the acceptance criteria in Schedule [x] and the System has met them. The Vendor will provide the cooperation, configuration, and technical support needed to run the test. If the System fails, the Institution may require remediation and a retest, renegotiate, or terminate under Clause 11 with a refund of amounts paid for the System. The test will begin within [x] days of signature and complete within [x] days; if the Vendor’s cooperation is not provided in time to meet those dates, the milestone does not fall due and the Institution may terminate under Clause 11. Acceptance or rejection is given in writing by the Institution’s System Owner. Where fees are paid by subscription rather than milestones, the first [x] months’ fees are refundable in full if the System fails acceptance. </w:t>
      </w:r>
      <w:r>
        <w:rPr>
          <w:i/>
          <w:iCs/>
        </w:rPr>
        <w:t>What this protects you from:</w:t>
      </w:r>
      <w:r>
        <w:rPr/>
        <w:t xml:space="preserve"> discovering, as the buyers in section 4.1 did, that claimed performance and delivered performance are different systems.</w:t>
      </w:r>
    </w:p>
    <w:p>
      <w:pPr>
        <w:pStyle w:val="Normal"/>
        <w:rPr/>
      </w:pPr>
      <w:r>
        <w:rPr>
          <w:b/>
          <w:bCs/>
        </w:rPr>
        <w:t>Clause 3: Ongoing performance warranty (R)</w:t>
      </w:r>
      <w:r>
        <w:rPr/>
        <w:t xml:space="preserve"> The Vendor warrants that, in live use, the System will perform within the ranges in Schedule [x], which states each metric by name (for example: accuracy, error rate by subgroup, alert or exception rate, response time), each with its measurement method. If measured performance falls outside the warranted range and is not restored within [x] days of notice, the Institution may terminate under Clause 11. </w:t>
      </w:r>
      <w:r>
        <w:rPr>
          <w:i/>
          <w:iCs/>
        </w:rPr>
        <w:t>What this protects you from:</w:t>
      </w:r>
      <w:r>
        <w:rPr/>
        <w:t xml:space="preserve"> the system that passes on day one and degrades quietly in service, with no lever attached to the decline.</w:t>
      </w:r>
    </w:p>
    <w:p>
      <w:pPr>
        <w:pStyle w:val="Normal"/>
        <w:rPr/>
      </w:pPr>
      <w:r>
        <w:rPr>
          <w:b/>
          <w:bCs/>
        </w:rPr>
        <w:t>Clause 4: Audit rights (M)</w:t>
      </w:r>
      <w:r>
        <w:rPr/>
        <w:t xml:space="preserve"> The Institution, or an independent auditor it appoints under confidentiality obligations, may audit the System’s logs, the documentation, and the Vendor’s compliance with this contract’s data and security commitments: at least once per year, and additionally after any incident or suspected breach. The Vendor will provide access and cooperation, with audit logs and compliance documentation made available within [72] hours of a written request. The Institution gives [x] days’ notice for routine audits and none for incident audits; the auditor is bound in writing to confidentiality; audits are conducted so as not to disrupt the service; and each party bears its own costs, except that audits beyond the first in any year are at the Institution’s cost. </w:t>
      </w:r>
      <w:r>
        <w:rPr>
          <w:i/>
          <w:iCs/>
        </w:rPr>
        <w:t>What this protects you from:</w:t>
      </w:r>
      <w:r>
        <w:rPr/>
        <w:t xml:space="preserve"> commitments that are true only in the sales meeting.</w:t>
      </w:r>
    </w:p>
    <w:p>
      <w:pPr>
        <w:pStyle w:val="Normal"/>
        <w:rPr/>
      </w:pPr>
      <w:r>
        <w:rPr>
          <w:b/>
          <w:bCs/>
        </w:rPr>
        <w:t>Clause 5: Update and change control (M)</w:t>
      </w:r>
      <w:r>
        <w:rPr/>
        <w:t xml:space="preserve"> The Vendor will give the Institution at least [30] days’ written notice of any change to the model or to System behaviour, with a written description of what is changing and why. The Institution may test the change before it is applied to its live environment and may decline it, remaining on its current version, for up to [x] months. Emergency security fixes may be applied immediately, with notice and description to follow within [x] days. If an applied change degrades the System against Schedule [x], the Vendor will restore the Institution’s prior version (rollback) within [x] days of notice, at no charge. </w:t>
      </w:r>
      <w:r>
        <w:rPr>
          <w:i/>
          <w:iCs/>
        </w:rPr>
        <w:t>What this protects you from:</w:t>
      </w:r>
      <w:r>
        <w:rPr/>
        <w:t xml:space="preserve"> silent updates: the validated system being replaced, unseen, by a system nobody validated.</w:t>
      </w:r>
    </w:p>
    <w:p>
      <w:pPr>
        <w:pStyle w:val="Normal"/>
        <w:rPr/>
      </w:pPr>
      <w:r>
        <w:rPr>
          <w:b/>
          <w:bCs/>
        </w:rPr>
        <w:t>Clause 6: Data ownership and permitted use (M)</w:t>
      </w:r>
      <w:r>
        <w:rPr/>
        <w:t xml:space="preserve"> All data the Institution or its users provide to the System, and all outputs generated from it, remain the property of the Institution. The Vendor will use this data only to provide the contracted service. The Vendor will not use it to train, improve, or develop any model or product, and will not sell, share, or derive products from it, in original, aggregated, or anonymised form, without a separate written agreement signed by the Institution. </w:t>
      </w:r>
      <w:r>
        <w:rPr>
          <w:i/>
          <w:iCs/>
        </w:rPr>
        <w:t>What this protects you from:</w:t>
      </w:r>
      <w:r>
        <w:rPr/>
        <w:t xml:space="preserve"> your institution’s records, and your users’ inputs, becoming someone else’s asset by default. </w:t>
      </w:r>
      <w:r>
        <w:rPr>
          <w:i/>
          <w:iCs/>
        </w:rPr>
        <w:t>Check locally:</w:t>
      </w:r>
      <w:r>
        <w:rPr/>
        <w:t xml:space="preserve"> who can own AI-generated output, and what rights exist in it, varies by jurisdiction; have counsel adapt the ownership words to your law. The clause’s enforceable core is the restriction on the Vendor’s use, which does not depend on ownership doctrine.</w:t>
      </w:r>
    </w:p>
    <w:p>
      <w:pPr>
        <w:pStyle w:val="Normal"/>
        <w:rPr/>
      </w:pPr>
      <w:r>
        <w:rPr>
          <w:b/>
          <w:bCs/>
        </w:rPr>
        <w:t>Clause 7: Data location and subcontractors (M for Tier 2)</w:t>
      </w:r>
      <w:r>
        <w:rPr/>
        <w:t xml:space="preserve"> The Institution’s data will be stored, processed, and backed up only in the countries listed in Schedule [x], and accessed only by the Vendor personnel and the subcontractors listed in Schedule [x]. Changes to either list require [x] days’ advance written notice and, for the countries list and (for Tier 2 systems) the subcontractor list, the Institution’s written consent. The Vendor will impose the obligations of this contract on every subcontractor and remains fully responsible for their performance. </w:t>
      </w:r>
      <w:r>
        <w:rPr>
          <w:i/>
          <w:iCs/>
        </w:rPr>
        <w:t>What this protects you from:</w:t>
      </w:r>
      <w:r>
        <w:rPr/>
        <w:t xml:space="preserve"> your data migrating to jurisdictions, and into hands, you never evaluated; promises that stop at the vendor’s front door.</w:t>
      </w:r>
    </w:p>
    <w:p>
      <w:pPr>
        <w:pStyle w:val="Normal"/>
        <w:rPr/>
      </w:pPr>
      <w:r>
        <w:rPr>
          <w:b/>
          <w:bCs/>
        </w:rPr>
        <w:t>Clause 8: Security and breach notification (M)</w:t>
      </w:r>
      <w:r>
        <w:rPr/>
        <w:t xml:space="preserve"> The Vendor will maintain the security controls in Schedule [x] throughout the contract. The Vendor will notify the Institution of any security breach affecting the Institution’s data within [x] hours of discovery, with a written account of scope, cause, and remediation to follow within [x] days. </w:t>
      </w:r>
      <w:r>
        <w:rPr>
          <w:i/>
          <w:iCs/>
        </w:rPr>
        <w:t>What this protects you from:</w:t>
      </w:r>
      <w:r>
        <w:rPr/>
        <w:t xml:space="preserve"> learning about a breach after your own legal notification deadlines have already expired. Set the hours after checking your local breach notification law.</w:t>
      </w:r>
    </w:p>
    <w:p>
      <w:pPr>
        <w:pStyle w:val="Normal"/>
        <w:rPr/>
      </w:pPr>
      <w:r>
        <w:rPr>
          <w:b/>
          <w:bCs/>
        </w:rPr>
        <w:t>Clause 9: Product incident notification (R)</w:t>
      </w:r>
      <w:r>
        <w:rPr/>
        <w:t xml:space="preserve"> If the Vendor becomes aware of a material defect, error, or safety problem in the System or in the same product deployed elsewhere, it will notify the Institution within [x] days, with its assessment of relevance to the Institution’s deployment. </w:t>
      </w:r>
      <w:r>
        <w:rPr>
          <w:i/>
          <w:iCs/>
        </w:rPr>
        <w:t>What this protects you from:</w:t>
      </w:r>
      <w:r>
        <w:rPr/>
        <w:t xml:space="preserve"> being the last customer to learn what the vendor already knows.</w:t>
      </w:r>
    </w:p>
    <w:p>
      <w:pPr>
        <w:pStyle w:val="Normal"/>
        <w:rPr/>
      </w:pPr>
      <w:r>
        <w:rPr>
          <w:b/>
          <w:bCs/>
        </w:rPr>
        <w:t>Clause 10: Audit logging (M for Tier 2)</w:t>
      </w:r>
      <w:r>
        <w:rPr/>
        <w:t xml:space="preserve"> The System will log, at minimum: each input received, each output produced, the date and time, the model version, and the identity of the requesting user or process. Logs will be retained for [x] months, remain accessible to the Institution throughout, and be exportable by the Institution in the documented format in Schedule [x] at no additional charge. Logs will be protected against alteration, and any gap or edit in the log record is itself notifiable under Clause 8. </w:t>
      </w:r>
      <w:r>
        <w:rPr>
          <w:i/>
          <w:iCs/>
        </w:rPr>
        <w:t>What this protects you from:</w:t>
      </w:r>
      <w:r>
        <w:rPr/>
        <w:t xml:space="preserve"> being unable to answer an affected person, an auditor, or your own incident investigation, because the record of your system’s decisions belongs to someone else.</w:t>
      </w:r>
    </w:p>
    <w:p>
      <w:pPr>
        <w:pStyle w:val="Normal"/>
        <w:rPr/>
      </w:pPr>
      <w:r>
        <w:rPr>
          <w:b/>
          <w:bCs/>
        </w:rPr>
        <w:t>Clause 11: Termination triggers (R)</w:t>
      </w:r>
      <w:r>
        <w:rPr/>
        <w:t xml:space="preserve"> In addition to any other rights, the Institution may terminate this contract if: the System fails acceptance testing under Clause 2; the System fails the performance warranty under Clause 3; the Vendor applies a change in breach of Clause 5; the Vendor refuses or obstructs an audit under Clause 4; the Vendor materially breaches Clauses 6, 7, or 8; or the Vendor announces withdrawal or end of support of the System or of the model version relied on. Termination under this clause entitles the Institution to a refund of fees paid for undelivered or unusable periods. </w:t>
      </w:r>
      <w:r>
        <w:rPr>
          <w:i/>
          <w:iCs/>
        </w:rPr>
        <w:t>What this protects you from:</w:t>
      </w:r>
      <w:r>
        <w:rPr/>
        <w:t xml:space="preserve"> a contract where every exit requires proving “material breach” from a standing start, in a dispute, at your expense.</w:t>
      </w:r>
    </w:p>
    <w:p>
      <w:pPr>
        <w:pStyle w:val="Normal"/>
        <w:rPr/>
      </w:pPr>
      <w:r>
        <w:rPr>
          <w:b/>
          <w:bCs/>
        </w:rPr>
        <w:t>Clause 12: Exit and portability (M)</w:t>
      </w:r>
      <w:r>
        <w:rPr/>
        <w:t xml:space="preserve"> On termination or expiry for any reason, the Vendor will: (a) export and deliver to the Institution all Institution data, configurations, and audit logs, in the open, documented formats in Schedule [x], within [x] days, for the fixed fee in Schedule [x]; (b) provide transition assistance for [x] months at the rates in Schedule [x]; and (c) then permanently delete all Institution data from its systems and its subcontractors’ systems and certify the deletion in writing. The obligations in this clause survive termination and apply even while any dispute between the parties is unresolved. The export format will be validated during acceptance testing. Where the System is critical to continuing operations, the parties will record in Schedule [x] an escrow or continuity arrangement covering Vendor insolvency or withdrawal of the product. </w:t>
      </w:r>
      <w:r>
        <w:rPr>
          <w:i/>
          <w:iCs/>
        </w:rPr>
        <w:t>What this protects you from:</w:t>
      </w:r>
      <w:r>
        <w:rPr/>
        <w:t xml:space="preserve"> lock-in, which is the quiet tax on every renewal; and a vendor holding your data hostage during a dispute.</w:t>
      </w:r>
    </w:p>
    <w:p>
      <w:pPr>
        <w:pStyle w:val="Normal"/>
        <w:rPr/>
      </w:pPr>
      <w:r>
        <w:rPr>
          <w:b/>
          <w:bCs/>
        </w:rPr>
        <w:t>Clause 13: Intellectual property indemnity (M for generative systems)</w:t>
      </w:r>
      <w:r>
        <w:rPr/>
        <w:t xml:space="preserve"> The Vendor will defend and indemnify the Institution against third-party claims that the System, or output generated by the System when used as documented, infringes intellectual property rights, and will at its own cost secure the Institution’s right to continue use, modify the System to be non-infringing, or refund and assist exit under Clause 12. </w:t>
      </w:r>
      <w:r>
        <w:rPr>
          <w:i/>
          <w:iCs/>
        </w:rPr>
        <w:t>What this protects you from:</w:t>
      </w:r>
      <w:r>
        <w:rPr/>
        <w:t xml:space="preserve"> your institution answering for what the vendor’s training data contained.</w:t>
      </w:r>
    </w:p>
    <w:p>
      <w:pPr>
        <w:pStyle w:val="Normal"/>
        <w:rPr/>
      </w:pPr>
      <w:r>
        <w:rPr>
          <w:b/>
          <w:bCs/>
        </w:rPr>
        <w:t>Clause 14: Price protection and product continuity (R)</w:t>
      </w:r>
      <w:r>
        <w:rPr/>
        <w:t xml:space="preserve"> The Vendor’s charges for renewal terms will not increase by more than [x] percent per year, or by more than [named index], whichever is lower. The Vendor will give at least [x] months’ written notice before withdrawing, discontinuing, or ending support of the System or of the model version relied on, and throughout that notice period exit assistance under Clause 12 remains available at the rates in Schedule [x]. </w:t>
      </w:r>
      <w:r>
        <w:rPr>
          <w:i/>
          <w:iCs/>
        </w:rPr>
        <w:t>What this protects you from:</w:t>
      </w:r>
      <w:r>
        <w:rPr/>
        <w:t xml:space="preserve"> a dependency being repriced once switching has become expensive, and a product disappearing faster than you can leave it.</w:t>
      </w:r>
    </w:p>
    <w:p>
      <w:pPr>
        <w:pStyle w:val="Heading2"/>
        <w:pageBreakBefore/>
        <w:rPr/>
      </w:pPr>
      <w:r>
        <w:rPr/>
        <w:t>7.5a Governance RACI (from Module 3)</w:t>
      </w:r>
    </w:p>
    <w:p>
      <w:pPr>
        <w:pStyle w:val="Boxtext"/>
        <w:keepNext w:val="true"/>
        <w:rPr/>
      </w:pPr>
      <w:r>
        <w:rPr>
          <w:b/>
          <w:bCs/>
        </w:rPr>
        <w:t>Standalone artifact.</w:t>
      </w:r>
      <w:r>
        <w:rPr/>
        <w:t xml:space="preserve"> Open AI Governance and Deployment Framework, Version 1.0. Toolkit edition. Licence: CC BY 4.0. R = Responsible (does the work). A = Accountable (answers for it). C = Consulted. I = Informed. Adjust to your structure and file the adjusted version in the system register. Tier note: this chart shows the Tier 2 allocation. At Tier 3, the Independent Reviewer column falls away (Module 3.2). At Tier 4, the Operational Lead holds the A for the G1 and G3 gate rows, per the gate table in Module 3.3.</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345"/>
        <w:gridCol w:w="1262"/>
        <w:gridCol w:w="1471"/>
        <w:gridCol w:w="1401"/>
        <w:gridCol w:w="1819"/>
      </w:tblGrid>
      <w:tr>
        <w:trPr>
          <w:tblHeader w:val="true"/>
          <w:cantSplit w:val="true"/>
        </w:trPr>
        <w:tc>
          <w:tcPr>
            <w:tcW w:w="334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Activity</w:t>
            </w:r>
          </w:p>
        </w:tc>
        <w:tc>
          <w:tcPr>
            <w:tcW w:w="126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7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140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worksheet (Module 2)</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(confirms Tier 2)</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(confirms below Tier 2, if peer)</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Tender demands and vendor interview (Module 4)</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demands)</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Due diligence checklist and G1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signature readiness (clauses, counsel review)</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data checklist (Module 5)</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on own data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readiness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(data part)</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(whole)</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Oversight design (3.4 one-pager)</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(checks at G3)</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(evidence pack)</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(joint)</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monitoring review and summary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 (receives)</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metrics)</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Override, reason, and blind-sample review (3.5)</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Pause decisions (3.6)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(beyond 48 hours)</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(first 48 hours)</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declaration and response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incidents: R)</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update acceptance and re-test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Grievance and appeal responses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continued-operation review</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and data return (Modules 4 and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(deletion certificate)</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bookmarkStart w:id="10" w:name="a-governance-raci-from-module-3"/>
            <w:bookmarkEnd w:id="10"/>
          </w:p>
        </w:tc>
      </w:tr>
    </w:tbl>
    <w:p>
      <w:pPr>
        <w:pStyle w:val="Heading2"/>
        <w:pageBreakBefore/>
        <w:rPr/>
      </w:pPr>
      <w:r>
        <w:rPr/>
        <w:t>7.5b Role definition pack (from Module 3)</w:t>
      </w:r>
    </w:p>
    <w:p>
      <w:pPr>
        <w:pStyle w:val="Boxtext"/>
        <w:rPr/>
      </w:pPr>
      <w:r>
        <w:rPr>
          <w:b/>
          <w:bCs/>
        </w:rPr>
        <w:t>Standalone artifact.</w:t>
      </w:r>
      <w:r>
        <w:rPr/>
        <w:t xml:space="preserve"> Open AI Governance and Deployment Framework, Version 1.0. Toolkit edition. Licence: CC BY 4.0. Four half-page definitions, written to be pasted into an appointment letter or job description. Replace bracketed items. Time budgets are the framework defaults from Module 3.2; adjust and record. Tier note: at Tier 4, the G1 and G3 gate signatures sit with the Operational Lead (Module 3.3); adjust the two definitions accordingly when appointing for a Tier 4 portfolio.</w:t>
      </w:r>
    </w:p>
    <w:p>
      <w:pPr>
        <w:pStyle w:val="Heading3"/>
        <w:rPr/>
      </w:pPr>
      <w:bookmarkStart w:id="11" w:name="system-owner-for-system-name"/>
      <w:r>
        <w:rPr/>
        <w:t>System Owner, for [system name]</w:t>
      </w:r>
    </w:p>
    <w:p>
      <w:pPr>
        <w:pStyle w:val="Normal"/>
        <w:rPr/>
      </w:pPr>
      <w:r>
        <w:rPr>
          <w:b/>
          <w:bCs/>
        </w:rPr>
        <w:t>Purpose.</w:t>
      </w:r>
      <w:r>
        <w:rPr/>
        <w:t xml:space="preserve"> You are accountable for this system’s behaviour in service. You are the person who answers for it, to leadership, to auditors, and to affected people, and you hold the authority that accountability requires. </w:t>
      </w:r>
      <w:r>
        <w:rPr>
          <w:b/>
          <w:bCs/>
        </w:rPr>
        <w:t>Authority.</w:t>
      </w:r>
      <w:r>
        <w:rPr/>
        <w:t xml:space="preserve"> You may halt the system at any time on your own decision. You approve or refuse the procurement gate (G1), the go-live gate (G3, jointly with the Independent Reviewer), and the periodic continued-operation gate (G4). You own incident decisions beyond the Operational Lead’s 48-hour pause authority. </w:t>
      </w:r>
      <w:r>
        <w:rPr>
          <w:b/>
          <w:bCs/>
        </w:rPr>
        <w:t>You sign.</w:t>
      </w:r>
      <w:r>
        <w:rPr/>
        <w:t xml:space="preserve"> The due diligence checklist (G1), the go-live checklist (G3), continued-operation reviews (G4), and the register entry carrying your name. </w:t>
      </w:r>
      <w:r>
        <w:rPr>
          <w:b/>
          <w:bCs/>
        </w:rPr>
        <w:t>You may refuse.</w:t>
      </w:r>
      <w:r>
        <w:rPr/>
        <w:t xml:space="preserve"> Any gate where a claimed item lacks a document. Refusals are recorded, and recorded refusal is a protected act. </w:t>
      </w:r>
      <w:r>
        <w:rPr>
          <w:b/>
          <w:bCs/>
        </w:rPr>
        <w:t>You receive.</w:t>
      </w:r>
      <w:r>
        <w:rPr/>
        <w:t xml:space="preserve"> The monthly monitoring summary, every pause and bypass record, and every incident declaration. </w:t>
      </w:r>
      <w:r>
        <w:rPr>
          <w:b/>
          <w:bCs/>
        </w:rPr>
        <w:t>Time.</w:t>
      </w:r>
      <w:r>
        <w:rPr/>
        <w:t xml:space="preserve"> About 4 hours per month in steady operation for a Tier 2 system; 10 to 15 hours one-time across procurement and go-live. </w:t>
      </w:r>
      <w:r>
        <w:rPr>
          <w:b/>
          <w:bCs/>
        </w:rPr>
        <w:t>Seniority test.</w:t>
      </w:r>
      <w:r>
        <w:rPr/>
        <w:t xml:space="preserve"> If you would need permission to stop this system, the role sits too low. Hand it up.</w:t>
      </w:r>
      <w:bookmarkEnd w:id="11"/>
    </w:p>
    <w:p>
      <w:pPr>
        <w:pStyle w:val="Heading3"/>
        <w:rPr/>
      </w:pPr>
      <w:bookmarkStart w:id="12" w:name="operational-lead-for-system-name"/>
      <w:r>
        <w:rPr/>
        <w:t>Operational Lead, for [system name]</w:t>
      </w:r>
    </w:p>
    <w:p>
      <w:pPr>
        <w:pStyle w:val="Normal"/>
        <w:rPr/>
      </w:pPr>
      <w:r>
        <w:rPr>
          <w:b/>
          <w:bCs/>
        </w:rPr>
        <w:t>Purpose.</w:t>
      </w:r>
      <w:r>
        <w:rPr/>
        <w:t xml:space="preserve"> You run this system day to day and you are the first pair of eyes on everything it does in service. </w:t>
      </w:r>
      <w:r>
        <w:rPr>
          <w:b/>
          <w:bCs/>
        </w:rPr>
        <w:t>Authority.</w:t>
      </w:r>
      <w:r>
        <w:rPr/>
        <w:t xml:space="preserve"> You may pause the system for up to 48 hours on your own decision. You decide pause requests within 4 working hours, with one recorded line of reasoning. You accept or defer vendor updates into the test window (Module 6) and keep the acceptable-use note current. </w:t>
      </w:r>
      <w:r>
        <w:rPr>
          <w:b/>
          <w:bCs/>
        </w:rPr>
        <w:t>You do.</w:t>
      </w:r>
      <w:r>
        <w:rPr/>
        <w:t xml:space="preserve"> The monitoring review and the monthly summary; the override-rate, written-reason, and blind-sample countermeasures (Module 3.5); reviewer training records; the oversight design one-pager (Module 3.4) for the Independent Reviewer’s G3 check; escalation intake. </w:t>
      </w:r>
      <w:r>
        <w:rPr>
          <w:b/>
          <w:bCs/>
        </w:rPr>
        <w:t>You may refuse.</w:t>
      </w:r>
      <w:r>
        <w:rPr/>
        <w:t xml:space="preserve"> To lift a pause you imposed until the System Owner has reviewed it. </w:t>
      </w:r>
      <w:r>
        <w:rPr>
          <w:b/>
          <w:bCs/>
        </w:rPr>
        <w:t>Time.</w:t>
      </w:r>
      <w:r>
        <w:rPr/>
        <w:t xml:space="preserve"> About 8 hours per month in steady operation for a Tier 2 system; 20 to 30 hours one-time through validation and rollout.</w:t>
      </w:r>
      <w:bookmarkEnd w:id="12"/>
    </w:p>
    <w:p>
      <w:pPr>
        <w:pStyle w:val="Heading3"/>
        <w:rPr/>
      </w:pPr>
      <w:bookmarkStart w:id="13" w:name="data-steward-for-system-name"/>
      <w:r>
        <w:rPr/>
        <w:t>Data Steward, for [system name]</w:t>
      </w:r>
    </w:p>
    <w:p>
      <w:pPr>
        <w:pStyle w:val="Normal"/>
        <w:rPr/>
      </w:pPr>
      <w:r>
        <w:rPr>
          <w:b/>
          <w:bCs/>
        </w:rPr>
        <w:t>Purpose.</w:t>
      </w:r>
      <w:r>
        <w:rPr/>
        <w:t xml:space="preserve"> You control what data this system receives, produces, and sends onward, and nothing about that changes without you. </w:t>
      </w:r>
      <w:r>
        <w:rPr>
          <w:b/>
          <w:bCs/>
        </w:rPr>
        <w:t>Authority.</w:t>
      </w:r>
      <w:r>
        <w:rPr/>
        <w:t xml:space="preserve"> You approve or refuse the pre-deployment data checklist (Module 5), and any subsequent change to data sources, fields, destinations, or storage locations. Your refusal blocks G2. </w:t>
      </w:r>
      <w:r>
        <w:rPr>
          <w:b/>
          <w:bCs/>
        </w:rPr>
        <w:t>You sign.</w:t>
      </w:r>
      <w:r>
        <w:rPr/>
        <w:t xml:space="preserve"> The data section of G2; deletion certificates at decommissioning. </w:t>
      </w:r>
      <w:r>
        <w:rPr>
          <w:b/>
          <w:bCs/>
        </w:rPr>
        <w:t>You are the contact for.</w:t>
      </w:r>
      <w:r>
        <w:rPr/>
        <w:t xml:space="preserve"> Data questions from auditors, regulators, affected people exercising data rights (check locally which rights apply), and the vendor. </w:t>
      </w:r>
      <w:r>
        <w:rPr>
          <w:b/>
          <w:bCs/>
        </w:rPr>
        <w:t>Time.</w:t>
      </w:r>
      <w:r>
        <w:rPr/>
        <w:t xml:space="preserve"> About 2 hours per month in steady operation; 8 to 12 hours one-time, mostly the Module 5 checklist.</w:t>
      </w:r>
      <w:bookmarkEnd w:id="13"/>
    </w:p>
    <w:p>
      <w:pPr>
        <w:pStyle w:val="Heading3"/>
        <w:rPr/>
      </w:pPr>
      <w:bookmarkStart w:id="14" w:name="independent-reviewer-for-system-name"/>
      <w:r>
        <w:rPr/>
        <w:t>Independent Reviewer, for [system name]</w:t>
      </w:r>
    </w:p>
    <w:p>
      <w:pPr>
        <w:pStyle w:val="Normal"/>
        <w:rPr/>
      </w:pPr>
      <w:r>
        <w:rPr>
          <w:b/>
          <w:bCs/>
        </w:rPr>
        <w:t>Purpose.</w:t>
      </w:r>
      <w:r>
        <w:rPr/>
        <w:t xml:space="preserve"> You are the outside check with the right to refuse the signature, at the two gates where enthusiasm and momentum are least reliable: readiness (G2) and go-live (G3). </w:t>
      </w:r>
      <w:r>
        <w:rPr>
          <w:b/>
          <w:bCs/>
        </w:rPr>
        <w:t>Independence.</w:t>
      </w:r>
      <w:r>
        <w:rPr/>
        <w:t xml:space="preserve"> You sit outside the team deploying this system and had no part in proposing or procuring it. If your department and theirs review for each other, the arrangement is recorded in the register. </w:t>
      </w:r>
      <w:r>
        <w:rPr>
          <w:b/>
          <w:bCs/>
        </w:rPr>
        <w:t>Your method, per gate.</w:t>
      </w:r>
      <w:r>
        <w:rPr/>
        <w:t xml:space="preserve"> Take the gate checklist. For every item marked done, ask for the document. Read the validation results against the criteria that were agreed before testing, and check the oversight design one-pager against the four elements in Module 3.4. Where a document is missing or a criterion unmet, refuse the signature and record why. You are not asked to judge the technology; you are asked to confirm the evidence exists. </w:t>
      </w:r>
      <w:r>
        <w:rPr>
          <w:b/>
          <w:bCs/>
        </w:rPr>
        <w:t>You may refuse.</w:t>
      </w:r>
      <w:r>
        <w:rPr/>
        <w:t xml:space="preserve"> The signature. That is the role. </w:t>
      </w:r>
      <w:r>
        <w:rPr>
          <w:b/>
          <w:bCs/>
        </w:rPr>
        <w:t>Time.</w:t>
      </w:r>
      <w:r>
        <w:rPr/>
        <w:t xml:space="preserve"> About 8 hours per gate, twice per system.</w:t>
      </w:r>
      <w:bookmarkEnd w:id="14"/>
    </w:p>
    <w:p>
      <w:pPr>
        <w:pStyle w:val="Heading2"/>
        <w:pageBreakBefore/>
        <w:rPr/>
      </w:pPr>
      <w:bookmarkStart w:id="15" w:name="X1966c01078a2138d7e50da2ef0f65f0ffc4018e"/>
      <w:r>
        <w:rPr/>
        <w:t>7.6 Pre-deployment readiness pack (gates G2 and G3)</w:t>
      </w:r>
    </w:p>
    <w:p>
      <w:pPr>
        <w:pStyle w:val="Boxtext"/>
        <w:rPr/>
      </w:pPr>
      <w:r>
        <w:rPr>
          <w:b/>
          <w:bCs/>
        </w:rPr>
        <w:t>Standalone artifact.</w:t>
      </w:r>
      <w:r>
        <w:rPr/>
        <w:t xml:space="preserve"> Open AI Governance and Deployment Framework, Version 1.0. Toolkit edition. Licence: CC BY 4.0. The single cover document for the readiness gate (G2) and the go-live gate (G3), designed for the Independent Reviewer’s method (Module 3): every item claims a document, and the reviewer asks for each document. The pack is this cover sheet plus its attachments; an item without its attachment fails the gate. The full data checklist (7.6a, below) is attachment A.</w:t>
      </w:r>
    </w:p>
    <w:p>
      <w:pPr>
        <w:pStyle w:val="Normal"/>
        <w:rPr/>
      </w:pPr>
      <w:r>
        <w:rPr>
          <w:b/>
          <w:bCs/>
        </w:rPr>
        <w:t>System:</w:t>
      </w:r>
      <w:r>
        <w:rPr/>
        <w:t xml:space="preserve"> ______ </w:t>
      </w:r>
      <w:r>
        <w:rPr>
          <w:b/>
          <w:bCs/>
        </w:rPr>
        <w:t>Tier:</w:t>
      </w:r>
      <w:r>
        <w:rPr/>
        <w:t xml:space="preserve"> ______ </w:t>
      </w:r>
      <w:r>
        <w:rPr>
          <w:b/>
          <w:bCs/>
        </w:rPr>
        <w:t>Register row:</w:t>
      </w:r>
      <w:r>
        <w:rPr/>
        <w:t xml:space="preserve"> ______</w:t>
      </w:r>
    </w:p>
    <w:p>
      <w:pPr>
        <w:pStyle w:val="Normal"/>
        <w:keepNext w:val="true"/>
        <w:rPr/>
      </w:pPr>
      <w:r>
        <w:rPr>
          <w:b/>
          <w:bCs/>
        </w:rPr>
        <w:t>Gate G2: Readiness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47"/>
        <w:gridCol w:w="4919"/>
        <w:gridCol w:w="3064"/>
        <w:gridCol w:w="967"/>
      </w:tblGrid>
      <w:tr>
        <w:trPr>
          <w:tblHeader w:val="true"/>
          <w:cantSplit w:val="true"/>
        </w:trPr>
        <w:tc>
          <w:tcPr>
            <w:tcW w:w="34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49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 claimed</w:t>
            </w:r>
          </w:p>
        </w:tc>
        <w:tc>
          <w:tcPr>
            <w:tcW w:w="306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Attachment</w:t>
            </w:r>
          </w:p>
        </w:tc>
        <w:tc>
          <w:tcPr>
            <w:tcW w:w="96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Present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data checklist complete, local-advice lines signed where required</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7.6a, completed</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Acceptance criteria as fixed in the contract schedule (before testing)</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schedule extract</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run and results against those criteria, subgroups included (Module 6.2)</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Results record</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Comparison against current practice recorded</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 results record</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4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w:t>
            </w:r>
          </w:p>
        </w:tc>
        <w:tc>
          <w:tcPr>
            <w:tcW w:w="49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Frozen test set stored under Data Steward control, excluded from vendor training in writing</w:t>
            </w:r>
          </w:p>
        </w:tc>
        <w:tc>
          <w:tcPr>
            <w:tcW w:w="306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Storage note and contract clause reference</w:t>
            </w:r>
          </w:p>
        </w:tc>
        <w:tc>
          <w:tcPr>
            <w:tcW w:w="9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bl>
    <w:p>
      <w:pPr>
        <w:pStyle w:val="Normal"/>
        <w:spacing w:before="160" w:after="100"/>
        <w:rPr/>
      </w:pPr>
      <w:r>
        <w:rPr/>
        <w:t>G2 signatures: Data Steward (item A) ______ Independent Reviewer (whole) ______ Date ______</w:t>
      </w:r>
    </w:p>
    <w:p>
      <w:pPr>
        <w:pStyle w:val="Normal"/>
        <w:keepNext w:val="true"/>
        <w:rPr/>
      </w:pPr>
      <w:r>
        <w:rPr>
          <w:b/>
          <w:bCs/>
        </w:rPr>
        <w:t>Gate G3: Go-live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55"/>
        <w:gridCol w:w="6010"/>
        <w:gridCol w:w="1957"/>
        <w:gridCol w:w="975"/>
      </w:tblGrid>
      <w:tr>
        <w:trPr>
          <w:tblHeader w:val="true"/>
          <w:cantSplit w:val="true"/>
        </w:trPr>
        <w:tc>
          <w:tcPr>
            <w:tcW w:w="35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1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 claimed</w:t>
            </w:r>
          </w:p>
        </w:tc>
        <w:tc>
          <w:tcPr>
            <w:tcW w:w="19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Attachment</w:t>
            </w:r>
          </w:p>
        </w:tc>
        <w:tc>
          <w:tcPr>
            <w:tcW w:w="97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Present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Shadow mode completed to its minimums; baselines captured</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Shadow report</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Pilot completed against written scope and stop criteria, decision recorded</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Pilot paragraph and decision</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H</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Oversight design one-pager: authority, capacity (minutes per case from shadow), information, consequence (Module 3.4)</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One-pager</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Reviewers trained on the limitations statement and validation failures; records kept</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Training record</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J</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plan complete: every row a name and two thresholds</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7.8, completed</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K</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 channel live; notice published where decisions land</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7.9 as published</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template staged; severity definitions aligned with the contract</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7.10, blank but configured</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3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w:t>
            </w:r>
          </w:p>
        </w:tc>
        <w:tc>
          <w:tcPr>
            <w:tcW w:w="601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Register row updated: version, dates, roles</w:t>
            </w:r>
          </w:p>
        </w:tc>
        <w:tc>
          <w:tcPr>
            <w:tcW w:w="19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7.11 extract</w:t>
            </w:r>
          </w:p>
        </w:tc>
        <w:tc>
          <w:tcPr>
            <w:tcW w:w="9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bl>
    <w:p>
      <w:pPr>
        <w:pStyle w:val="Normal"/>
        <w:spacing w:before="160" w:after="100"/>
        <w:rPr/>
      </w:pPr>
      <w:bookmarkStart w:id="16" w:name="X1966c01078a2138d7e50da2ef0f65f0ffc4018e"/>
      <w:r>
        <w:rPr/>
        <w:t>G3 signatures: System Owner ______ Independent Reviewer ______ Date ______</w:t>
      </w:r>
      <w:bookmarkEnd w:id="16"/>
    </w:p>
    <w:p>
      <w:pPr>
        <w:pStyle w:val="Heading2"/>
        <w:pageBreakBefore/>
        <w:rPr/>
      </w:pPr>
      <w:bookmarkStart w:id="17" w:name="Xe134291c4aa99cf3e826d3669b12a37a3e1b640"/>
      <w:r>
        <w:rPr/>
        <w:t>7.6a Pre-deployment data checklist (from Module 5, attachment A to the readiness pack)</w:t>
      </w:r>
    </w:p>
    <w:p>
      <w:pPr>
        <w:pStyle w:val="Boxtext"/>
        <w:rPr/>
      </w:pPr>
      <w:r>
        <w:rPr>
          <w:b/>
          <w:bCs/>
        </w:rPr>
        <w:t>Standalone artifact.</w:t>
      </w:r>
      <w:r>
        <w:rPr/>
        <w:t xml:space="preserve"> Open AI Governance and Deployment Framework, Version 1.0. Toolkit edition. Licence: CC BY 4.0. Completed and signed by the Data Steward before the readiness gate (G2, Module 3); an incomplete checklist blocks the gate. It is an operating tool and it is not legal advice; items marked “local advice” require answers from a person qualified in your jurisdiction, and their name and date go on the line.</w:t>
      </w:r>
    </w:p>
    <w:p>
      <w:pPr>
        <w:pStyle w:val="Normal"/>
        <w:keepNext w:val="true"/>
        <w:rPr/>
      </w:pPr>
      <w:r>
        <w:rPr>
          <w:b/>
          <w:bCs/>
        </w:rPr>
        <w:t>System</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7774"/>
        <w:gridCol w:w="1523"/>
      </w:tblGrid>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tier (attach the Module 2 worksheet)</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data specification received (Module 4.2.1)</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bl>
    <w:p>
      <w:pPr>
        <w:pStyle w:val="Normal"/>
        <w:keepNext w:val="true"/>
        <w:spacing w:before="160" w:after="100"/>
        <w:rPr/>
      </w:pPr>
      <w:r>
        <w:rPr>
          <w:b/>
          <w:bCs/>
        </w:rPr>
        <w:t>Section A: Inventory.</w:t>
      </w:r>
      <w:r>
        <w:rPr/>
        <w:t xml:space="preserve"> One row per field or field group leaving the institution. Attach continuation sheets as needed.</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859"/>
        <w:gridCol w:w="1860"/>
        <w:gridCol w:w="1857"/>
        <w:gridCol w:w="1859"/>
        <w:gridCol w:w="1863"/>
      </w:tblGrid>
      <w:tr>
        <w:trPr>
          <w:tblHeader w:val="true"/>
          <w:cantSplit w:val="true"/>
        </w:trPr>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Field</w:t>
            </w:r>
          </w:p>
        </w:tc>
        <w:tc>
          <w:tcPr>
            <w:tcW w:w="186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Sensitivity class (5.2)</w:t>
            </w:r>
          </w:p>
        </w:tc>
        <w:tc>
          <w:tcPr>
            <w:tcW w:w="18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Needed for function? (vendor’s written answer)</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Withheld instead?</w:t>
            </w:r>
          </w:p>
        </w:tc>
        <w:tc>
          <w:tcPr>
            <w:tcW w:w="18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Regulator, if regulated data</w:t>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A2: Unstructured sources</w:t>
      </w:r>
      <w:r>
        <w:rPr/>
        <w:t xml:space="preserve"> (generative deployments; one row per source)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859"/>
        <w:gridCol w:w="1860"/>
        <w:gridCol w:w="1857"/>
        <w:gridCol w:w="1859"/>
        <w:gridCol w:w="1863"/>
      </w:tblGrid>
      <w:tr>
        <w:trPr>
          <w:tblHeader w:val="true"/>
          <w:cantSplit w:val="true"/>
        </w:trPr>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Source</w:t>
            </w:r>
          </w:p>
        </w:tc>
        <w:tc>
          <w:tcPr>
            <w:tcW w:w="186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Worst sensitivity class realistically inside</w:t>
            </w:r>
          </w:p>
        </w:tc>
        <w:tc>
          <w:tcPr>
            <w:tcW w:w="18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Scrubbing or redaction control, verified on a sample by</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Needed for function?</w:t>
            </w:r>
          </w:p>
        </w:tc>
        <w:tc>
          <w:tcPr>
            <w:tcW w:w="18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Derived stores (embeddings, caches, memory) covered by location, retention, deletion answers?</w:t>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Section B: Lawful basis (local advice for Tier 2 and any sensitive personal data)</w:t>
      </w:r>
    </w:p>
    <w:p>
      <w:pPr>
        <w:pStyle w:val="Checklistitem"/>
        <w:rPr/>
      </w:pPr>
      <w:r>
        <w:rPr/>
        <w:t>☐</w:t>
      </w:r>
      <w:r>
        <w:rPr/>
        <w:tab/>
        <w:t>Legal basis for this use identified and recorded: ____________</w:t>
      </w:r>
    </w:p>
    <w:p>
      <w:pPr>
        <w:pStyle w:val="Checklistitem"/>
        <w:rPr/>
      </w:pPr>
      <w:r>
        <w:rPr/>
        <w:t>☐</w:t>
      </w:r>
      <w:r>
        <w:rPr/>
        <w:tab/>
        <w:t>Purpose compared with collection purpose; notice or consent steps identified: ____________</w:t>
      </w:r>
    </w:p>
    <w:p>
      <w:pPr>
        <w:pStyle w:val="Checklistitem"/>
        <w:rPr/>
      </w:pPr>
      <w:r>
        <w:rPr/>
        <w:t>☐</w:t>
      </w:r>
      <w:r>
        <w:rPr/>
        <w:tab/>
        <w:t>People in the data informed, where required; how: ____________</w:t>
      </w:r>
    </w:p>
    <w:p>
      <w:pPr>
        <w:pStyle w:val="Checklistitem"/>
        <w:rPr/>
      </w:pPr>
      <w:r>
        <w:rPr/>
        <w:t>☐</w:t>
      </w:r>
      <w:r>
        <w:rPr/>
        <w:tab/>
        <w:t>Formal risk or impact assessment required? ☐ No ☐ Yes → completed and attached</w:t>
      </w:r>
    </w:p>
    <w:p>
      <w:pPr>
        <w:pStyle w:val="ListParagraph"/>
        <w:numPr>
          <w:ilvl w:val="0"/>
          <w:numId w:val="12"/>
        </w:numPr>
        <w:rPr/>
      </w:pPr>
      <w:r>
        <w:rPr/>
        <w:t>Local advice by (name, qualification, date): ____________</w:t>
      </w:r>
    </w:p>
    <w:p>
      <w:pPr>
        <w:pStyle w:val="Normal"/>
        <w:rPr/>
      </w:pPr>
      <w:r>
        <w:rPr>
          <w:b/>
          <w:bCs/>
        </w:rPr>
        <w:t>Section C: Location and access</w:t>
      </w:r>
    </w:p>
    <w:p>
      <w:pPr>
        <w:pStyle w:val="Checklistitem"/>
        <w:rPr/>
      </w:pPr>
      <w:r>
        <w:rPr/>
        <w:t>☐</w:t>
      </w:r>
      <w:r>
        <w:rPr/>
        <w:tab/>
        <w:t>Storage countries, in the contract schedule: ____________</w:t>
      </w:r>
    </w:p>
    <w:p>
      <w:pPr>
        <w:pStyle w:val="Checklistitem"/>
        <w:rPr/>
      </w:pPr>
      <w:r>
        <w:rPr/>
        <w:t>☐</w:t>
      </w:r>
      <w:r>
        <w:rPr/>
        <w:tab/>
        <w:t>Processing countries: ____________ Backup countries: ____________</w:t>
      </w:r>
    </w:p>
    <w:p>
      <w:pPr>
        <w:pStyle w:val="Checklistitem"/>
        <w:rPr/>
      </w:pPr>
      <w:r>
        <w:rPr/>
        <w:t>☐</w:t>
      </w:r>
      <w:r>
        <w:rPr/>
        <w:tab/>
        <w:t>Countries from which vendor or subcontractor staff can access: ____________</w:t>
      </w:r>
    </w:p>
    <w:p>
      <w:pPr>
        <w:pStyle w:val="Checklistitem"/>
        <w:rPr/>
      </w:pPr>
      <w:r>
        <w:rPr/>
        <w:t>☐</w:t>
      </w:r>
      <w:r>
        <w:rPr/>
        <w:tab/>
        <w:t>Transfer restrictions checked locally; instrument named: ____________</w:t>
      </w:r>
    </w:p>
    <w:p>
      <w:pPr>
        <w:pStyle w:val="Checklistitem"/>
        <w:rPr/>
      </w:pPr>
      <w:r>
        <w:rPr/>
        <w:t>☐</w:t>
      </w:r>
      <w:r>
        <w:rPr/>
        <w:tab/>
        <w:t>Region setting configured and recorded, where the product offers one</w:t>
      </w:r>
    </w:p>
    <w:p>
      <w:pPr>
        <w:pStyle w:val="Checklistitem"/>
        <w:rPr/>
      </w:pPr>
      <w:r>
        <w:rPr/>
        <w:t>☐</w:t>
      </w:r>
      <w:r>
        <w:rPr/>
        <w:tab/>
        <w:t>Governing law of vendor and compelled-disclosure question put in writing to vendor and adviser; answers filed</w:t>
      </w:r>
    </w:p>
    <w:p>
      <w:pPr>
        <w:pStyle w:val="Normal"/>
        <w:rPr/>
      </w:pPr>
      <w:r>
        <w:rPr>
          <w:b/>
          <w:bCs/>
        </w:rPr>
        <w:t>Section D: AI-specific security (5.4)</w:t>
      </w:r>
    </w:p>
    <w:p>
      <w:pPr>
        <w:pStyle w:val="Checklistitem"/>
        <w:rPr/>
      </w:pPr>
      <w:r>
        <w:rPr/>
        <w:t>☐</w:t>
      </w:r>
      <w:r>
        <w:rPr/>
        <w:tab/>
        <w:t>Named-account access only; access list at go-live filed; quarterly review scheduled</w:t>
      </w:r>
    </w:p>
    <w:p>
      <w:pPr>
        <w:pStyle w:val="Checklistitem"/>
        <w:rPr/>
      </w:pPr>
      <w:r>
        <w:rPr/>
        <w:t>☐</w:t>
      </w:r>
      <w:r>
        <w:rPr/>
        <w:tab/>
        <w:t>Injection testing evidence received (systems reading untrusted text); independent security test commissioned for public-facing systems (name, date): ____________</w:t>
      </w:r>
    </w:p>
    <w:p>
      <w:pPr>
        <w:pStyle w:val="Checklistitem"/>
        <w:rPr/>
      </w:pPr>
      <w:r>
        <w:rPr/>
        <w:t>☐</w:t>
      </w:r>
      <w:r>
        <w:rPr/>
        <w:tab/>
        <w:t>Training use of our data: excluded in writing, or separately agreed with leadership signature attached</w:t>
      </w:r>
    </w:p>
    <w:p>
      <w:pPr>
        <w:pStyle w:val="Checklistitem"/>
        <w:rPr/>
      </w:pPr>
      <w:r>
        <w:rPr/>
        <w:t>☐</w:t>
      </w:r>
      <w:r>
        <w:rPr/>
        <w:tab/>
        <w:t>Session and customer separation described by vendor in writing; canary test planned for validation</w:t>
      </w:r>
    </w:p>
    <w:p>
      <w:pPr>
        <w:pStyle w:val="Checklistitem"/>
        <w:rPr/>
      </w:pPr>
      <w:r>
        <w:rPr/>
        <w:t>☐</w:t>
      </w:r>
      <w:r>
        <w:rPr/>
        <w:tab/>
        <w:t>Vendor access bounded in contract; access log review scheduled into annual audit</w:t>
      </w:r>
    </w:p>
    <w:p>
      <w:pPr>
        <w:pStyle w:val="Checklistitem"/>
        <w:rPr/>
      </w:pPr>
      <w:r>
        <w:rPr/>
        <w:t>☐</w:t>
      </w:r>
      <w:r>
        <w:rPr/>
        <w:tab/>
        <w:t>Log export confirmed; monthly query-volume review by the Operational Lead</w:t>
      </w:r>
    </w:p>
    <w:p>
      <w:pPr>
        <w:pStyle w:val="Checklistitem"/>
        <w:rPr/>
      </w:pPr>
      <w:r>
        <w:rPr/>
        <w:t>☐</w:t>
      </w:r>
      <w:r>
        <w:rPr/>
        <w:tab/>
        <w:t>Decision systems: influential-inputs statement received and gaming metric added to the monitoring plan</w:t>
      </w:r>
    </w:p>
    <w:p>
      <w:pPr>
        <w:pStyle w:val="Normal"/>
        <w:rPr/>
      </w:pPr>
      <w:r>
        <w:rPr>
          <w:b/>
          <w:bCs/>
        </w:rPr>
        <w:t>Section E: Minimisation and retention</w:t>
      </w:r>
    </w:p>
    <w:p>
      <w:pPr>
        <w:pStyle w:val="Checklistitem"/>
        <w:rPr/>
      </w:pPr>
      <w:r>
        <w:rPr/>
        <w:t>☐</w:t>
      </w:r>
      <w:r>
        <w:rPr/>
        <w:tab/>
        <w:t>Field set reduced to the vendor specification’s justified minimum; withholdings recorded in Section A</w:t>
      </w:r>
    </w:p>
    <w:p>
      <w:pPr>
        <w:pStyle w:val="Checklistitem"/>
        <w:rPr/>
      </w:pPr>
      <w:r>
        <w:rPr/>
        <w:t>☐</w:t>
      </w:r>
      <w:r>
        <w:rPr/>
        <w:tab/>
        <w:t>Any “anonymised” or “aggregated” claim: method in writing, taken to local advice where sensitive</w:t>
      </w:r>
    </w:p>
    <w:p>
      <w:pPr>
        <w:pStyle w:val="Checklistitem"/>
        <w:rPr/>
      </w:pPr>
      <w:r>
        <w:rPr/>
        <w:t>☐</w:t>
      </w:r>
      <w:r>
        <w:rPr/>
        <w:tab/>
        <w:t>Retention, as dates, per flow, in the contract schedule: ____________</w:t>
      </w:r>
    </w:p>
    <w:p>
      <w:pPr>
        <w:pStyle w:val="Checklistitem"/>
        <w:rPr/>
      </w:pPr>
      <w:r>
        <w:rPr/>
        <w:t>☐</w:t>
      </w:r>
      <w:r>
        <w:rPr/>
        <w:tab/>
        <w:t>Deletion or return at end, with written certification, per Module 4 Clause 12</w:t>
      </w:r>
    </w:p>
    <w:p>
      <w:pPr>
        <w:pStyle w:val="Normal"/>
        <w:rPr/>
      </w:pPr>
      <w:r>
        <w:rPr>
          <w:b/>
          <w:bCs/>
        </w:rPr>
        <w:t>Section F: Special categories (5.6), where applicable</w:t>
      </w:r>
    </w:p>
    <w:p>
      <w:pPr>
        <w:pStyle w:val="Checklistitem"/>
        <w:rPr/>
      </w:pPr>
      <w:r>
        <w:rPr/>
        <w:t>☐</w:t>
      </w:r>
      <w:r>
        <w:rPr/>
        <w:tab/>
        <w:t>Health data: regulator guidance identified; approvals or ethics review obtained where required</w:t>
      </w:r>
    </w:p>
    <w:p>
      <w:pPr>
        <w:pStyle w:val="Checklistitem"/>
        <w:rPr/>
      </w:pPr>
      <w:r>
        <w:rPr/>
        <w:t>☐</w:t>
      </w:r>
      <w:r>
        <w:rPr/>
        <w:tab/>
        <w:t>Children’s data: lawful basis answered by local advice; vendor experience recorded in due diligence</w:t>
      </w:r>
    </w:p>
    <w:p>
      <w:pPr>
        <w:pStyle w:val="Checklistitem"/>
        <w:rPr/>
      </w:pPr>
      <w:r>
        <w:rPr/>
        <w:t>☐</w:t>
      </w:r>
      <w:r>
        <w:rPr/>
        <w:tab/>
        <w:t>Financial data: supervisor’s outsourcing and cloud rules mapped; notifications or approvals done</w:t>
      </w:r>
    </w:p>
    <w:p>
      <w:pPr>
        <w:pStyle w:val="Checklistitem"/>
        <w:rPr/>
      </w:pPr>
      <w:r>
        <w:rPr/>
        <w:t>☐</w:t>
      </w:r>
      <w:r>
        <w:rPr/>
        <w:tab/>
        <w:t>Government administrative data: statutory confidentiality checked; in-country or on-premises default applied or departure justified in writing</w:t>
      </w:r>
    </w:p>
    <w:p>
      <w:pPr>
        <w:pStyle w:val="Normal"/>
        <w:keepNext w:val="true"/>
        <w:rPr/>
      </w:pPr>
      <w:r>
        <w:rPr>
          <w:b/>
          <w:bCs/>
        </w:rPr>
        <w:t>Sign-off</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206"/>
        <w:gridCol w:w="1859"/>
        <w:gridCol w:w="1371"/>
        <w:gridCol w:w="1861"/>
      </w:tblGrid>
      <w:tr>
        <w:trPr>
          <w:tblHeader w:val="true"/>
          <w:cantSplit w:val="true"/>
        </w:trPr>
        <w:tc>
          <w:tcPr>
            <w:tcW w:w="420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37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2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Completed and signed</w:t>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3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2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Local advice items confirmed (where applicable)</w:t>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3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18" w:name="Xe134291c4aa99cf3e826d3669b12a37a3e1b640"/>
      <w:r>
        <w:rPr>
          <w:i/>
          <w:iCs/>
        </w:rPr>
        <w:t>File with the G2 gate record in the system register (Module 7).</w:t>
      </w:r>
      <w:bookmarkEnd w:id="18"/>
    </w:p>
    <w:p>
      <w:pPr>
        <w:pStyle w:val="Heading2"/>
        <w:pageBreakBefore/>
        <w:rPr/>
      </w:pPr>
      <w:bookmarkStart w:id="19" w:name="Xfff1d8667051f9ead6de1b1da14bbb3439cb68e"/>
      <w:r>
        <w:rPr/>
        <w:t>7.7 Stage-by-stage lifecycle checklist (from Module 6)</w:t>
      </w:r>
    </w:p>
    <w:p>
      <w:pPr>
        <w:pStyle w:val="Boxtext"/>
        <w:rPr/>
      </w:pPr>
      <w:r>
        <w:rPr>
          <w:b/>
          <w:bCs/>
        </w:rPr>
        <w:t>Standalone artifact.</w:t>
      </w:r>
      <w:r>
        <w:rPr/>
        <w:t xml:space="preserve"> Open AI Governance and Deployment Framework, Version 1.0. Toolkit edition. Licence: CC BY 4.0. One per system; items initialled as completed; gate rows signed per Module 3. Durations are Tier 2 defaults.</w:t>
      </w:r>
    </w:p>
    <w:p>
      <w:pPr>
        <w:pStyle w:val="Normal"/>
        <w:rPr/>
      </w:pPr>
      <w:r>
        <w:rPr>
          <w:b/>
          <w:bCs/>
        </w:rPr>
        <w:t>Stage 1: Validation (2 to 6 weeks)</w:t>
      </w:r>
    </w:p>
    <w:p>
      <w:pPr>
        <w:pStyle w:val="Checklistitem"/>
        <w:rPr/>
      </w:pPr>
      <w:r>
        <w:rPr/>
        <w:t>☐</w:t>
      </w:r>
      <w:r>
        <w:rPr/>
        <w:tab/>
        <w:t>Acceptance criteria fixed in the contract schedule before testing (accuracy, worst subgroup gap, operational limits)</w:t>
      </w:r>
    </w:p>
    <w:p>
      <w:pPr>
        <w:pStyle w:val="Checklistitem"/>
        <w:rPr/>
      </w:pPr>
      <w:r>
        <w:rPr/>
        <w:t>☐</w:t>
      </w:r>
      <w:r>
        <w:rPr/>
        <w:tab/>
        <w:t>Test sample assembled: at least 300 cases, representative, subgroups covered, hard cases included</w:t>
      </w:r>
    </w:p>
    <w:p>
      <w:pPr>
        <w:pStyle w:val="Checklistitem"/>
        <w:rPr/>
      </w:pPr>
      <w:r>
        <w:rPr/>
        <w:t>☐</w:t>
      </w:r>
      <w:r>
        <w:rPr/>
        <w:tab/>
        <w:t>Sample frozen under Data Steward control; excluded in writing from vendor training</w:t>
      </w:r>
    </w:p>
    <w:p>
      <w:pPr>
        <w:pStyle w:val="Checklistitem"/>
        <w:rPr/>
      </w:pPr>
      <w:r>
        <w:rPr/>
        <w:t>☐</w:t>
      </w:r>
      <w:r>
        <w:rPr/>
        <w:tab/>
        <w:t>Run completed in a test configuration; results scored against pre-fixed criteria only</w:t>
      </w:r>
    </w:p>
    <w:p>
      <w:pPr>
        <w:pStyle w:val="Checklistitem"/>
        <w:rPr/>
      </w:pPr>
      <w:r>
        <w:rPr/>
        <w:t>☐</w:t>
      </w:r>
      <w:r>
        <w:rPr/>
        <w:tab/>
        <w:t>Compared against current practice on the same cases</w:t>
      </w:r>
    </w:p>
    <w:p>
      <w:pPr>
        <w:pStyle w:val="Checklistitem"/>
        <w:rPr/>
      </w:pPr>
      <w:r>
        <w:rPr/>
        <w:t>☐</w:t>
      </w:r>
      <w:r>
        <w:rPr/>
        <w:tab/>
        <w:t>Decision recorded: pass / remediate and retest / renegotiate scope / exit</w:t>
      </w:r>
    </w:p>
    <w:p>
      <w:pPr>
        <w:pStyle w:val="Checklistitem"/>
        <w:rPr/>
      </w:pPr>
      <w:r>
        <w:rPr/>
        <w:t>☐</w:t>
      </w:r>
      <w:r>
        <w:rPr/>
        <w:tab/>
      </w:r>
      <w:r>
        <w:rPr>
          <w:b/>
          <w:bCs/>
        </w:rPr>
        <w:t>GATE G2:</w:t>
      </w:r>
      <w:r>
        <w:rPr/>
        <w:t xml:space="preserve"> Data checklist (Module 5) and validation results signed: Data Steward ______ Independent Reviewer ______ Date ______</w:t>
      </w:r>
    </w:p>
    <w:p>
      <w:pPr>
        <w:pStyle w:val="Normal"/>
        <w:rPr/>
      </w:pPr>
      <w:r>
        <w:rPr>
          <w:b/>
          <w:bCs/>
        </w:rPr>
        <w:t>Stage 2: Shadow mode (minimum 4 weeks and 200 outputs; 6 to 8 weeks if low detectability)</w:t>
      </w:r>
    </w:p>
    <w:p>
      <w:pPr>
        <w:pStyle w:val="Checklistitem"/>
        <w:rPr/>
      </w:pPr>
      <w:r>
        <w:rPr/>
        <w:t>☐</w:t>
      </w:r>
      <w:r>
        <w:rPr/>
        <w:tab/>
        <w:t>Outputs recorded, nobody acting on them; comparison method defined first</w:t>
      </w:r>
    </w:p>
    <w:p>
      <w:pPr>
        <w:pStyle w:val="Checklistitem"/>
        <w:rPr/>
      </w:pPr>
      <w:r>
        <w:rPr/>
        <w:t>☐</w:t>
      </w:r>
      <w:r>
        <w:rPr/>
        <w:tab/>
        <w:t>Live alert or exception rate measured against the operational criterion</w:t>
      </w:r>
    </w:p>
    <w:p>
      <w:pPr>
        <w:pStyle w:val="Checklistitem"/>
        <w:rPr/>
      </w:pPr>
      <w:r>
        <w:rPr/>
        <w:t>☐</w:t>
      </w:r>
      <w:r>
        <w:rPr/>
        <w:tab/>
        <w:t>Real minutes-per-case review cost measured; reviewer time budget set (Module 3.4)</w:t>
      </w:r>
    </w:p>
    <w:p>
      <w:pPr>
        <w:pStyle w:val="Checklistitem"/>
        <w:rPr/>
      </w:pPr>
      <w:r>
        <w:rPr/>
        <w:t>☐</w:t>
      </w:r>
      <w:r>
        <w:rPr/>
        <w:tab/>
        <w:t>Monitoring baselines captured for every Artifact 6b metric</w:t>
      </w:r>
    </w:p>
    <w:p>
      <w:pPr>
        <w:pStyle w:val="Normal"/>
        <w:rPr/>
      </w:pPr>
      <w:r>
        <w:rPr>
          <w:b/>
          <w:bCs/>
        </w:rPr>
        <w:t>Stage 3: Pilot (4 to 12 weeks)</w:t>
      </w:r>
    </w:p>
    <w:p>
      <w:pPr>
        <w:pStyle w:val="Checklistitem"/>
        <w:rPr/>
      </w:pPr>
      <w:r>
        <w:rPr/>
        <w:t>☐</w:t>
      </w:r>
      <w:r>
        <w:rPr/>
        <w:tab/>
        <w:t>One-paragraph pilot definition written first: scope, duration, success criteria, stop criteria with numbers</w:t>
      </w:r>
    </w:p>
    <w:p>
      <w:pPr>
        <w:pStyle w:val="Checklistitem"/>
        <w:rPr/>
      </w:pPr>
      <w:r>
        <w:rPr/>
        <w:t>☐</w:t>
      </w:r>
      <w:r>
        <w:rPr/>
        <w:tab/>
        <w:t>Oversight design one-pager in force (Module 3.4); reviewers trained on limitations and validation failures</w:t>
      </w:r>
    </w:p>
    <w:p>
      <w:pPr>
        <w:pStyle w:val="Checklistitem"/>
        <w:rPr/>
      </w:pPr>
      <w:r>
        <w:rPr/>
        <w:t>☐</w:t>
      </w:r>
      <w:r>
        <w:rPr/>
        <w:tab/>
        <w:t>Appeal channel live and notice published (Artifact 6c)</w:t>
      </w:r>
    </w:p>
    <w:p>
      <w:pPr>
        <w:pStyle w:val="Checklistitem"/>
        <w:rPr/>
      </w:pPr>
      <w:r>
        <w:rPr/>
        <w:t>☐</w:t>
      </w:r>
      <w:r>
        <w:rPr/>
        <w:tab/>
        <w:t>Incident plan and monitoring plan (Artifact 6b) in force</w:t>
      </w:r>
    </w:p>
    <w:p>
      <w:pPr>
        <w:pStyle w:val="Checklistitem"/>
        <w:rPr/>
      </w:pPr>
      <w:r>
        <w:rPr/>
        <w:t>☐</w:t>
      </w:r>
      <w:r>
        <w:rPr/>
        <w:tab/>
        <w:t>Pilot decision recorded either way</w:t>
      </w:r>
    </w:p>
    <w:p>
      <w:pPr>
        <w:pStyle w:val="Checklistitem"/>
        <w:rPr/>
      </w:pPr>
      <w:r>
        <w:rPr/>
        <w:t>☐</w:t>
      </w:r>
      <w:r>
        <w:rPr/>
        <w:tab/>
      </w:r>
      <w:r>
        <w:rPr>
          <w:b/>
          <w:bCs/>
        </w:rPr>
        <w:t>GATE G3 (full go-live):</w:t>
      </w:r>
      <w:r>
        <w:rPr/>
        <w:t xml:space="preserve"> System Owner ______ Independent Reviewer ______ Date ______</w:t>
      </w:r>
    </w:p>
    <w:p>
      <w:pPr>
        <w:pStyle w:val="Normal"/>
        <w:rPr/>
      </w:pPr>
      <w:r>
        <w:rPr>
          <w:b/>
          <w:bCs/>
        </w:rPr>
        <w:t>Stage 4: Operation (standing)</w:t>
      </w:r>
    </w:p>
    <w:p>
      <w:pPr>
        <w:pStyle w:val="Checklistitem"/>
        <w:rPr/>
      </w:pPr>
      <w:r>
        <w:rPr/>
        <w:t>☐</w:t>
      </w:r>
      <w:r>
        <w:rPr/>
        <w:tab/>
        <w:t>Monthly monitoring review and summary to System Owner; weekly glance if low detectability</w:t>
      </w:r>
    </w:p>
    <w:p>
      <w:pPr>
        <w:pStyle w:val="Checklistitem"/>
        <w:rPr/>
      </w:pPr>
      <w:r>
        <w:rPr/>
        <w:t>☐</w:t>
      </w:r>
      <w:r>
        <w:rPr/>
        <w:tab/>
        <w:t>Monthly unflagged-case audit (20 cases or 2 percent); quarterly outcome reconciliation</w:t>
      </w:r>
    </w:p>
    <w:p>
      <w:pPr>
        <w:pStyle w:val="Checklistitem"/>
        <w:rPr/>
      </w:pPr>
      <w:r>
        <w:rPr/>
        <w:t>☐</w:t>
      </w:r>
      <w:r>
        <w:rPr/>
        <w:tab/>
        <w:t>Appeals log read monthly beside the metrics</w:t>
      </w:r>
    </w:p>
    <w:p>
      <w:pPr>
        <w:pStyle w:val="Checklistitem"/>
        <w:rPr/>
      </w:pPr>
      <w:r>
        <w:rPr/>
        <w:t>☐</w:t>
      </w:r>
      <w:r>
        <w:rPr/>
        <w:tab/>
        <w:t>Every update notice through the 6.7 routine; change log current; frozen test set or prompt set re-run on model changes</w:t>
      </w:r>
    </w:p>
    <w:p>
      <w:pPr>
        <w:pStyle w:val="Checklistitem"/>
        <w:rPr/>
      </w:pPr>
      <w:r>
        <w:rPr/>
        <w:t>☐</w:t>
      </w:r>
      <w:r>
        <w:rPr/>
        <w:tab/>
      </w:r>
      <w:r>
        <w:rPr>
          <w:b/>
          <w:bCs/>
        </w:rPr>
        <w:t>GATE G4 (every 12 months and on trigger):</w:t>
      </w:r>
      <w:r>
        <w:rPr/>
        <w:t xml:space="preserve"> revalidation passed, roles filled, thresholds reviewed: System Owner ______ Date ______</w:t>
      </w:r>
    </w:p>
    <w:p>
      <w:pPr>
        <w:pStyle w:val="Normal"/>
        <w:rPr/>
      </w:pPr>
      <w:r>
        <w:rPr>
          <w:b/>
          <w:bCs/>
        </w:rPr>
        <w:t>Stage 5: Decommissioning (2 to 8 weeks)</w:t>
      </w:r>
    </w:p>
    <w:p>
      <w:pPr>
        <w:pStyle w:val="Checklistitem"/>
        <w:rPr/>
      </w:pPr>
      <w:r>
        <w:rPr/>
        <w:t>☐</w:t>
      </w:r>
      <w:r>
        <w:rPr/>
        <w:tab/>
        <w:t>Trigger and decision recorded</w:t>
      </w:r>
    </w:p>
    <w:p>
      <w:pPr>
        <w:pStyle w:val="Checklistitem"/>
        <w:rPr/>
      </w:pPr>
      <w:r>
        <w:rPr/>
        <w:t>☐</w:t>
      </w:r>
      <w:r>
        <w:rPr/>
        <w:tab/>
        <w:t>Fallback confirmed working and staffed before switch-off</w:t>
      </w:r>
    </w:p>
    <w:p>
      <w:pPr>
        <w:pStyle w:val="Checklistitem"/>
        <w:rPr/>
      </w:pPr>
      <w:r>
        <w:rPr/>
        <w:t>☐</w:t>
      </w:r>
      <w:r>
        <w:rPr/>
        <w:tab/>
        <w:t>Users, operators, and (where relevant) affected persons informed</w:t>
      </w:r>
    </w:p>
    <w:p>
      <w:pPr>
        <w:pStyle w:val="Checklistitem"/>
        <w:rPr/>
      </w:pPr>
      <w:r>
        <w:rPr/>
        <w:t>☐</w:t>
      </w:r>
      <w:r>
        <w:rPr/>
        <w:tab/>
        <w:t>Export received and verified; decision records retained per local retention rules</w:t>
      </w:r>
    </w:p>
    <w:p>
      <w:pPr>
        <w:pStyle w:val="Checklistitem"/>
        <w:rPr/>
      </w:pPr>
      <w:r>
        <w:rPr/>
        <w:t>☐</w:t>
      </w:r>
      <w:r>
        <w:rPr/>
        <w:tab/>
        <w:t>Vendor deletion certificate on file: Data Steward ______ Date ______</w:t>
      </w:r>
    </w:p>
    <w:p>
      <w:pPr>
        <w:pStyle w:val="Checklistitem"/>
        <w:rPr/>
      </w:pPr>
      <w:r>
        <w:rPr/>
        <w:t>☐</w:t>
      </w:r>
      <w:r>
        <w:rPr/>
        <w:tab/>
        <w:t>Access closed item by item; register entry closed; one page of lessons filed with the procurement templates</w:t>
      </w:r>
      <w:bookmarkEnd w:id="19"/>
    </w:p>
    <w:p>
      <w:pPr>
        <w:pStyle w:val="Heading2"/>
        <w:pageBreakBefore/>
        <w:rPr/>
      </w:pPr>
      <w:bookmarkStart w:id="20" w:name="monitoring-plan-template-from-module-6"/>
      <w:r>
        <w:rPr/>
        <w:t>7.8 Monitoring plan template (from Module 6)</w:t>
      </w:r>
    </w:p>
    <w:p>
      <w:pPr>
        <w:pStyle w:val="Boxtext"/>
        <w:keepNext w:val="true"/>
        <w:rPr/>
      </w:pPr>
      <w:r>
        <w:rPr>
          <w:b/>
          <w:bCs/>
        </w:rPr>
        <w:t>Standalone artifact.</w:t>
      </w:r>
      <w:r>
        <w:rPr/>
        <w:t xml:space="preserve"> Open AI Governance and Deployment Framework, Version 1.0. Toolkit edition. Licence: CC BY 4.0. One page per system, completed before go-live; the G3 gate checks it. Baselines come from shadow mode. Every row carries a named person and two thresholds; a row with a title instead of a name, or a threshold left “to be set,” fails the gate. Quantitative rows carry numbers in both threshold columns. Qualitative rows (input data quality, source changes) carry the review action instead: “any occurrence: note and review at month end” in the investigate column, and the named condition that triggers the pause question in the act column.</w:t>
      </w:r>
    </w:p>
    <w:tbl>
      <w:tblPr>
        <w:tblStyle w:val="FrameworkTable"/>
        <w:tblW w:w="9298" w:type="dxa"/>
        <w:jc w:val="left"/>
        <w:tblInd w:w="90" w:type="dxa"/>
        <w:tblLayout w:type="fixed"/>
        <w:tblCellMar>
          <w:top w:w="30" w:type="dxa"/>
          <w:left w:w="85" w:type="dxa"/>
          <w:bottom w:w="30" w:type="dxa"/>
          <w:right w:w="85" w:type="dxa"/>
        </w:tblCellMar>
        <w:tblLook w:val="0020" w:noHBand="0" w:noVBand="0" w:firstColumn="0" w:lastRow="0" w:lastColumn="0" w:firstRow="1"/>
      </w:tblPr>
      <w:tblGrid>
        <w:gridCol w:w="3000"/>
        <w:gridCol w:w="899"/>
        <w:gridCol w:w="1451"/>
        <w:gridCol w:w="1049"/>
        <w:gridCol w:w="1150"/>
        <w:gridCol w:w="1748"/>
      </w:tblGrid>
      <w:tr>
        <w:trPr>
          <w:tblHeader w:val="true"/>
          <w:cantSplit w:val="true"/>
        </w:trPr>
        <w:tc>
          <w:tcPr>
            <w:tcW w:w="9297" w:type="dxa"/>
            <w:gridSpan w:val="6"/>
            <w:tcBorders/>
            <w:shd w:color="auto" w:fill="DCE4EF" w:val="clear"/>
          </w:tcPr>
          <w:p>
            <w:pPr>
              <w:pStyle w:val="Tableheader"/>
              <w:spacing w:before="0" w:after="0"/>
              <w:jc w:val="left"/>
              <w:rPr>
                <w:rFonts w:ascii="Calibri" w:hAnsi="Calibri" w:eastAsia="Calibri" w:cs="Calibri"/>
                <w:kern w:val="0"/>
                <w:lang w:val="en-GB" w:eastAsia="en-GB" w:bidi="ar-SA"/>
              </w:rPr>
            </w:pPr>
            <w:r>
              <w:rPr>
                <w:rFonts w:eastAsia="Calibri" w:cs="Calibri"/>
                <w:kern w:val="0"/>
                <w:lang w:val="en-GB" w:eastAsia="en-GB" w:bidi="ar-SA"/>
              </w:rPr>
              <w:t>System: ______ Tier: ______ Baselines from shadow period: ______ to ______</w:t>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Metric</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Baseline</w:t>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Cadence</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Who looks (name)</w:t>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Investigate at</w:t>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b/>
                <w:bCs/>
                <w:kern w:val="0"/>
                <w:lang w:val="en-GB" w:eastAsia="en-GB" w:bidi="ar-SA"/>
              </w:rPr>
              <w:t>Act at (pause question same day)</w:t>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Volume per week, by site or channel</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Weekly/Monthly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Output distribution (rate per outcome class or score band)</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Override and exception rate (Module 3.5; defaults: investigate below 1 percent or above 30 percent)</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Unflagged-case audit findings (sample: 20 or 2 percent monthly)</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 outcome reconciliation (silent failures found)</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Subgroup performance, or stratified audit where outcomes lag</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Quarterly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Appeals: count, upheld count, themes (three upheld in a quarter = incident question, automatic)</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00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Input data quality (missing fields, malformed records, source changes)</w:t>
            </w:r>
          </w:p>
        </w:tc>
        <w:tc>
          <w:tcPr>
            <w:tcW w:w="89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451"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t>Monthly</w:t>
            </w:r>
          </w:p>
        </w:tc>
        <w:tc>
          <w:tcPr>
            <w:tcW w:w="1049"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150"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c>
          <w:tcPr>
            <w:tcW w:w="1748" w:type="dxa"/>
            <w:tcBorders/>
          </w:tcPr>
          <w:p>
            <w:pPr>
              <w:pStyle w:val="Tabletext"/>
              <w:spacing w:before="0" w:after="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21" w:name="monitoring-plan-template-from-module-6"/>
      <w:r>
        <w:rPr/>
        <w:t>Summary to System Owner: monthly, one page. Plan reviewed at every G4 and after every accepted major update. Prepared by ______ (Operational Lead) Date ______</w:t>
      </w:r>
      <w:bookmarkEnd w:id="21"/>
    </w:p>
    <w:p>
      <w:pPr>
        <w:pStyle w:val="Heading2"/>
        <w:keepNext w:val="true"/>
        <w:keepLines/>
        <w:rPr/>
      </w:pPr>
      <w:bookmarkStart w:id="22" w:name="appeal-notice-template-from-module-6"/>
      <w:r>
        <w:rPr/>
        <w:t>7.9 Appeal notice template (from Module 6)</w:t>
      </w:r>
    </w:p>
    <w:p>
      <w:pPr>
        <w:pStyle w:val="Boxtext"/>
        <w:keepNext w:val="true"/>
        <w:keepLines/>
        <w:rPr/>
      </w:pPr>
      <w:r>
        <w:rPr>
          <w:b/>
          <w:bCs/>
        </w:rPr>
        <w:t>Standalone artifact.</w:t>
      </w:r>
      <w:r>
        <w:rPr/>
        <w:t xml:space="preserve"> Open AI Governance and Deployment Framework, Version 1.0. Toolkit edition. Licence: CC BY 4.0. Plain-language text for letters, portals, and counters, wherever a person meets a decision the system informed. Adapt the bracketed items; keep the reading level; translate into every language your institution serves people in. Check locally: where your law requires telling people an automated system was involved, or grants a right to human review, your notice must say so; this template is the floor. Conversational systems: replace the reference number with the session identifier, surface the challenge route inside the interface on every session, and publish this notice text where the chat is offered.</w:t>
      </w:r>
    </w:p>
    <w:p>
      <w:pPr>
        <w:pStyle w:val="Boxtext"/>
        <w:keepNext w:val="true"/>
        <w:keepLines/>
        <w:rPr/>
      </w:pPr>
      <w:r>
        <w:rPr>
          <w:b/>
          <w:bCs/>
        </w:rPr>
        <w:t>If you think this decision is wrong, you can ask us to look at it again.</w:t>
      </w:r>
    </w:p>
    <w:p>
      <w:pPr>
        <w:pStyle w:val="Boxtext"/>
        <w:keepNext w:val="true"/>
        <w:keepLines/>
        <w:rPr/>
      </w:pPr>
      <w:r>
        <w:rPr/>
        <w:t>A computer system helped us assess your case. A person is responsible for the decision, and a different person will review it if you ask.</w:t>
      </w:r>
    </w:p>
    <w:p>
      <w:pPr>
        <w:pStyle w:val="Boxtext"/>
        <w:keepNext w:val="true"/>
        <w:keepLines/>
        <w:rPr/>
      </w:pPr>
      <w:r>
        <w:rPr>
          <w:b/>
          <w:bCs/>
        </w:rPr>
        <w:t>How to ask:</w:t>
      </w:r>
      <w:r>
        <w:rPr/>
        <w:t xml:space="preserve"> [channel: form, address, phone, counter], quoting reference [x]. You do not need to give a reason, though anything you tell us helps.</w:t>
      </w:r>
    </w:p>
    <w:p>
      <w:pPr>
        <w:pStyle w:val="Boxtext"/>
        <w:keepNext w:val="true"/>
        <w:keepLines/>
        <w:rPr/>
      </w:pPr>
      <w:r>
        <w:rPr>
          <w:b/>
          <w:bCs/>
        </w:rPr>
        <w:t>What happens next:</w:t>
      </w:r>
      <w:r>
        <w:rPr/>
        <w:t xml:space="preserve"> we will confirm we received your request within [5] working days, and give you our answer, with reasons, within [20] working days.</w:t>
      </w:r>
    </w:p>
    <w:p>
      <w:pPr>
        <w:pStyle w:val="Boxtext"/>
        <w:keepLines/>
        <w:rPr/>
      </w:pPr>
      <w:bookmarkStart w:id="23" w:name="appeal-notice-template-from-module-6"/>
      <w:r>
        <w:rPr/>
        <w:t>Asking for a review will not be held against you and will not delay anything you are currently receiving. [Delete or adapt where a decision has suspensive effects; state them plainly.]</w:t>
      </w:r>
      <w:bookmarkEnd w:id="23"/>
    </w:p>
    <w:p>
      <w:pPr>
        <w:pStyle w:val="Heading2"/>
        <w:pageBreakBefore/>
        <w:rPr/>
      </w:pPr>
      <w:bookmarkStart w:id="24" w:name="incident-response-template"/>
      <w:r>
        <w:rPr/>
        <w:t>7.10 Incident response template</w:t>
      </w:r>
    </w:p>
    <w:p>
      <w:pPr>
        <w:pStyle w:val="Boxtext"/>
        <w:rPr/>
      </w:pPr>
      <w:r>
        <w:rPr>
          <w:b/>
          <w:bCs/>
        </w:rPr>
        <w:t>Standalone artifact.</w:t>
      </w:r>
      <w:r>
        <w:rPr/>
        <w:t xml:space="preserve"> Open AI Governance and Deployment Framework, Version 1.0. Toolkit edition. Licence: CC BY 4.0. Open one per incident, the moment the incident question is asked; a record opened and closed as “no incident” costs a page and is filed with the monitoring notes. Clocks and definitions are Module 6.6’s. It is an operating tool and it is not legal advice; external notification duties are governed by your local law, named on your Module 5 checklist.</w:t>
      </w:r>
    </w:p>
    <w:p>
      <w:pPr>
        <w:pStyle w:val="Normal"/>
        <w:keepNext w:val="true"/>
        <w:rPr/>
      </w:pPr>
      <w:r>
        <w:rPr>
          <w:b/>
          <w:bCs/>
        </w:rPr>
        <w:t>Incident record</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id and system</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Opened by (name), date, time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Type (Module 6.6 closed list): ☐ 1 wrong or harmful output reached a person (including via oversight bypass) ☐ 2 systematic error discovered ☐ 3 security event ☐ 4 vendor notification ☐ 5 unnotified model or behaviour change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Severity: ☐ 1 wrong or harmful outputs are reaching people now ☐ 2 unavailable or unreliable but contained ☐ 3 degraded, suspected, or near-miss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Contain</w:t>
      </w:r>
      <w:r>
        <w:rPr/>
        <w:t xml:space="preserve"> (immediately / same day / next review, by severity)</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099"/>
        <w:gridCol w:w="3099"/>
        <w:gridCol w:w="3100"/>
      </w:tblGrid>
      <w:tr>
        <w:trPr>
          <w:tblHeader w:val="true"/>
          <w:cantSplit w:val="true"/>
        </w:trPr>
        <w:tc>
          <w:tcPr>
            <w:tcW w:w="309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Action taken (pause, channel stopped, single output held)</w:t>
            </w:r>
          </w:p>
        </w:tc>
        <w:tc>
          <w:tcPr>
            <w:tcW w:w="309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By</w:t>
            </w:r>
          </w:p>
        </w:tc>
        <w:tc>
          <w:tcPr>
            <w:tcW w:w="310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 time</w:t>
            </w:r>
          </w:p>
        </w:tc>
      </w:tr>
      <w:tr>
        <w:trPr>
          <w:cantSplit w:val="true"/>
        </w:trPr>
        <w:tc>
          <w:tcPr>
            <w:tcW w:w="30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30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310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Declare and inform:</w:t>
      </w:r>
      <w:r>
        <w:rPr/>
        <w:t xml:space="preserve"> Operational Lead declared ______ System Owner informed ______ (within 4 working hours / 24 hours / 5 working days)</w:t>
      </w:r>
    </w:p>
    <w:p>
      <w:pPr>
        <w:pStyle w:val="Normal"/>
        <w:rPr/>
      </w:pPr>
      <w:r>
        <w:rPr>
          <w:b/>
          <w:bCs/>
        </w:rPr>
        <w:t>Assess</w:t>
      </w:r>
      <w:r>
        <w:rPr/>
        <w:t xml:space="preserve"> (first written assessment within 5 working days): What happened, since when, evidenced by which logs: ______ Who was affected, how many: ______ Root cause, if known: ______</w:t>
      </w:r>
    </w:p>
    <w:p>
      <w:pPr>
        <w:pStyle w:val="Normal"/>
        <w:keepNext w:val="true"/>
        <w:rPr/>
      </w:pPr>
      <w:r>
        <w:rPr>
          <w:b/>
          <w:bCs/>
        </w:rPr>
        <w:t>Notify</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719"/>
        <w:gridCol w:w="1858"/>
        <w:gridCol w:w="1859"/>
        <w:gridCol w:w="1861"/>
      </w:tblGrid>
      <w:tr>
        <w:trPr>
          <w:tblHeader w:val="true"/>
          <w:cantSplit w:val="true"/>
        </w:trPr>
        <w:tc>
          <w:tcPr>
            <w:tcW w:w="37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Who</w:t>
            </w:r>
          </w:p>
        </w:tc>
        <w:tc>
          <w:tcPr>
            <w:tcW w:w="185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Required by (law or contract clause; see Module 5 checklist)</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Deadline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Done, date</w:t>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Internal (leadership per severity)</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Affected persons</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Regulator(s)</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7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(or from vendor, Clause 8 or 9)</w:t>
            </w:r>
          </w:p>
        </w:tc>
        <w:tc>
          <w:tcPr>
            <w:tcW w:w="185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Remediate</w:t>
      </w:r>
      <w:r>
        <w:rPr/>
        <w:t xml:space="preserve"> (plan within 10 working days): Fix or restriction: ______ Decisions about people corrected, using the appeal machinery proactively (Module 6.6): ______</w:t>
      </w:r>
    </w:p>
    <w:p>
      <w:pPr>
        <w:pStyle w:val="Normal"/>
        <w:rPr/>
      </w:pPr>
      <w:r>
        <w:rPr>
          <w:b/>
          <w:bCs/>
        </w:rPr>
        <w:t>Restart</w:t>
      </w:r>
      <w:r>
        <w:rPr/>
        <w:t xml:space="preserve"> (paused Tier 2 systems): frozen test set or relevant validation slice re-run and passed ☐ attached. System Owner signature ______ Date ______</w:t>
      </w:r>
    </w:p>
    <w:p>
      <w:pPr>
        <w:pStyle w:val="Normal"/>
        <w:rPr/>
      </w:pPr>
      <w:r>
        <w:rPr>
          <w:b/>
          <w:bCs/>
        </w:rPr>
        <w:t>Close and learn:</w:t>
      </w:r>
      <w:r>
        <w:rPr/>
        <w:t xml:space="preserve"> cause, effect, and changes in three sentences: ______ New failure mode fed to reviewer training and the monitoring plan ☐ Register updated ☐ Closed by ______ Date ______</w:t>
      </w:r>
      <w:bookmarkEnd w:id="24"/>
    </w:p>
    <w:p>
      <w:pPr>
        <w:pStyle w:val="Heading2"/>
        <w:pageBreakBefore/>
        <w:rPr/>
      </w:pPr>
      <w:r>
        <w:rPr/>
        <w:t>7.11 The system register</w:t>
      </w:r>
    </w:p>
    <w:p>
      <w:pPr>
        <w:pStyle w:val="Boxtext"/>
        <w:keepNext w:val="true"/>
        <w:rPr/>
      </w:pPr>
      <w:r>
        <w:rPr>
          <w:b/>
          <w:bCs/>
        </w:rPr>
        <w:t>Standalone artifact.</w:t>
      </w:r>
      <w:r>
        <w:rPr/>
        <w:t xml:space="preserve"> Open AI Governance and Deployment Framework, Version 1.0. Toolkit edition. Licence: CC BY 4.0. One living document for the whole institution: one row per AI use case, including free tools and pilots. It is the index to every other artifact (each row’s documents live in that system’s file), the first thing the thirty-day path creates, and the first thing to show an auditor. The Operational Lead of each system keeps its row current; a named person (default: the System Owner with the most Tier 2 systems; leadership names one where that ties) reviews the whole register monthly and reports rows with empty cells to leadership. Keep the register as a workbook: this table as the index tab, with gate records, incidents, and appeals on their own tabs linked by system name, because one row cannot hold a history.</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577"/>
        <w:gridCol w:w="3720"/>
      </w:tblGrid>
      <w:tr>
        <w:trPr>
          <w:tblHeader w:val="true"/>
          <w:cantSplit w:val="true"/>
        </w:trPr>
        <w:tc>
          <w:tcPr>
            <w:tcW w:w="557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Column</w:t>
            </w:r>
          </w:p>
        </w:tc>
        <w:tc>
          <w:tcPr>
            <w:tcW w:w="372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Entry</w:t>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Use case, one sentence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worksheet date, next review date (7.2)</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 Operational Lead / Data Steward (names)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 arrangement, and reviewer name per gate record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Gates passed, with dates (G1 to G4)</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Model or product version currently in use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Last validation or revalidation, result,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Monitoring plan in force (7.8), last monthly summary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Appeal channel live (7.9), where published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exit clause ☐ update control ☐ data rights ☐ (renewal fix list if gaps, with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Status: ☐ proposed ☐ procurement ☐ validation ☐ shadow ☐ pilot ☐ live ☐ paused ☐ decommissioned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Open incidents or fix-list items</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Framework version adopted (see Feedback and versioning)</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bookmarkStart w:id="25" w:name="the-system-register"/>
            <w:bookmarkStart w:id="26" w:name="the-system-register"/>
            <w:bookmarkEnd w:id="26"/>
          </w:p>
        </w:tc>
      </w:tr>
    </w:tbl>
    <w:p>
      <w:pPr>
        <w:pStyle w:val="Heading2"/>
        <w:rPr/>
      </w:pPr>
      <w:r>
        <w:rPr/>
        <w:t>References for this module</w:t>
      </w:r>
    </w:p>
    <w:p>
      <w:pPr>
        <w:pStyle w:val="Normal"/>
        <w:widowControl/>
        <w:bidi w:val="0"/>
        <w:spacing w:lineRule="auto" w:line="259" w:before="0" w:after="100"/>
        <w:jc w:val="left"/>
        <w:rPr/>
      </w:pPr>
      <w:bookmarkStart w:id="27" w:name="module-7-the-implementation-toolkit"/>
      <w:r>
        <w:rPr/>
        <w:t>This module introduces no new factual claims, statistics, or cases; every artifact’s supporting evidence is cited in its parent module, and the standards mapping in 7.0.1 reuses only references verified in Modules 1 to 6.</w:t>
      </w:r>
      <w:bookmarkEnd w:id="27"/>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19</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paragraph" w:styleId="Heading3">
    <w:name w:val="Heading 3"/>
    <w:basedOn w:val="Normal"/>
    <w:next w:val="Normal"/>
    <w:uiPriority w:val="9"/>
    <w:qFormat/>
    <w:pPr>
      <w:keepNext w:val="true"/>
      <w:keepLines/>
      <w:spacing w:lineRule="auto" w:line="240" w:before="280" w:after="100"/>
      <w:outlineLvl w:val="2"/>
    </w:pPr>
    <w:rPr>
      <w:b/>
      <w:bCs/>
      <w:color w:val="1F3864"/>
      <w:sz w:val="24"/>
      <w:szCs w:val="24"/>
    </w:rPr>
  </w:style>
  <w:style w:type="character" w:styleId="DefaultParagraphFont" w:default="1">
    <w:name w:val="Default Paragraph Font"/>
    <w:uiPriority w:val="1"/>
    <w:semiHidden/>
    <w:unhideWhenUsed/>
    <w:qFormat/>
    <w:rPr/>
  </w:style>
  <w:style w:type="paragraph" w:styleId="ListParagraph">
    <w:name w:val="List Paragraph"/>
    <w:basedOn w:val="Normal"/>
    <w:uiPriority w:val="34"/>
    <w:qFormat/>
    <w:pPr>
      <w:spacing w:before="0" w:after="60"/>
      <w:ind w:left="720"/>
    </w:pPr>
    <w:rPr/>
  </w:style>
  <w:style w:type="paragraph" w:styleId="Checklistitem" w:customStyle="1">
    <w:name w:val="Checklist item"/>
    <w:basedOn w:val="Normal"/>
    <w:qFormat/>
    <w:pPr>
      <w:tabs>
        <w:tab w:val="clear" w:pos="720"/>
        <w:tab w:val="left" w:pos="340" w:leader="none"/>
      </w:tabs>
      <w:spacing w:lineRule="exact" w:line="264" w:before="0" w:after="60"/>
      <w:ind w:hanging="340" w:left="34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19</Pages>
  <Words>8190</Words>
  <Characters>43366</Characters>
  <CharactersWithSpaces>50938</CharactersWithSpaces>
  <Paragraphs>607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2026-09-29T14:49:28Z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2026-09-29T14:49:29Z</dcterms:modified>
  <cp:revision>1</cp:revision>
  <dc:subject>An operating manual for institutions that buy, deploy, and run AI systems</dc:subject>
  <dc:title>Open AI Governance and Deployment Framework, Version 1.0. Module 7: The implementation toolkit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