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module-6-the-deployment-lifecycle"/>
      <w:r>
        <w:rPr/>
        <w:t>Module 6: The deployment lifecycle</w:t>
      </w:r>
    </w:p>
    <w:p>
      <w:pPr>
        <w:pStyle w:val="Normal"/>
        <w:rPr/>
      </w:pPr>
      <w:r>
        <w:rPr/>
        <w:t>An AI system that passed every test on the day it went live will drift, be updated under you, and degrade while attention moves elsewhere. This module gives you the stage-by-stage controls, the clocks, and the thresholds that keep a running system as governed as a new one.</w:t>
      </w:r>
    </w:p>
    <w:p>
      <w:pPr>
        <w:pStyle w:val="Normal"/>
        <w:rPr/>
      </w:pPr>
      <w:r>
        <w:rPr/>
        <w:t>For a new system, work the stages in order: validate (6.2), roll out in phases (6.3), then run the standing machinery of monitoring (6.4), appeals (6.5), incidents (6.6), updates (6.7), and revalidation (6.8), until the day you retire it (6.9). For a system already live with none of this around it, start at 6.4 and 6.5 this month, then run 6.2 as a late validation at the next revalidation date. Artifact 6a is the stage checklist with the gates and durations; Artifact 6b is the monitoring plan; Artifact 6c is the notice that tells affected people how to challenge a decision.</w:t>
      </w:r>
    </w:p>
    <w:p>
      <w:pPr>
        <w:pStyle w:val="Heading2"/>
        <w:rPr/>
      </w:pPr>
      <w:bookmarkStart w:id="1" w:name="the-life-of-a-system"/>
      <w:r>
        <w:rPr/>
        <w:t>6.1 The life of a system</w:t>
      </w:r>
    </w:p>
    <w:p>
      <w:pPr>
        <w:pStyle w:val="Normal"/>
        <w:rPr/>
      </w:pPr>
      <w:r>
        <w:rPr/>
        <w:t>A sepsis prediction model was deployed at hundreds of hospitals on the strength of developer-reported accuracy of 0.76 to 0.83. In 2021, researchers tested it on their own hospital’s 38,455 admissions and measured 0.63, with two thirds of sepsis cases missed and alerts on nearly one patient in five (Wong and colleagues, cited in full in Module 4). In October 2022, reporting based on the developer’s own documents showed the model had been overhauled, and the developer was now recommending something it had not required before: that the model be trained on each hospital’s own data before clinical use. A revised version released that year was built to allow that local fine-tuning. (References at the end of this module.)</w:t>
      </w:r>
    </w:p>
    <w:p>
      <w:pPr>
        <w:pStyle w:val="Normal"/>
        <w:rPr/>
      </w:pPr>
      <w:r>
        <w:rPr/>
        <w:t>The gap between claimed and delivered performance was findable by validation on local data before go-live (6.2). The flood of alerts that made oversight impossible was measurable in the first weeks of a shadow run (6.3) and in monitoring afterwards (6.4). The missed patients were the failures that produce no alert, findable only by deliberately auditing what the system stayed silent about (6.4). And the overhaul is the reminder that sits under section 6.7: the system you validated is a version, vendors replace versions, and an update arriving is a normal, certain event.</w:t>
      </w:r>
    </w:p>
    <w:p>
      <w:pPr>
        <w:pStyle w:val="Normal"/>
        <w:keepNext w:val="true"/>
        <w:rPr/>
      </w:pPr>
      <w:r>
        <w:rPr>
          <w:b/>
          <w:bCs/>
        </w:rPr>
        <w:t>The lifecycle at a glance.</w:t>
      </w:r>
      <w:r>
        <w:rPr/>
        <w:t xml:space="preserve"> Artifact 6a is this table as a working checklist.</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141"/>
        <w:gridCol w:w="2963"/>
        <w:gridCol w:w="1931"/>
        <w:gridCol w:w="2262"/>
      </w:tblGrid>
      <w:tr>
        <w:trPr>
          <w:tblHeader w:val="true"/>
          <w:cantSplit w:val="true"/>
        </w:trPr>
        <w:tc>
          <w:tcPr>
            <w:tcW w:w="214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Stage</w:t>
            </w:r>
          </w:p>
        </w:tc>
        <w:tc>
          <w:tcPr>
            <w:tcW w:w="296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What happens</w:t>
            </w:r>
          </w:p>
        </w:tc>
        <w:tc>
          <w:tcPr>
            <w:tcW w:w="193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Ends at</w:t>
            </w:r>
          </w:p>
        </w:tc>
        <w:tc>
          <w:tcPr>
            <w:tcW w:w="226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Typical duration (Tier 2 defaults)</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Validation (6.2)</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system is tested on your own historical data against criteria fixed in advance</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G2 readiness (with the Module 5 data checklist)</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 to 6 weeks</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Shadow mode (6.3)</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system runs live; humans decide as before; outputs are compared to reality</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Go-live decision input</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Minimum 4 weeks and at least 200 outputs; 6 to 8 weeks where detectability is low</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Pilot (6.3)</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Limited live use, pre-agreed scope and stop criteria</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G3 go-live for full scope</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 to 12 weeks</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 (6.4 to 6.7)</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appeals, incidents, update control</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G4 continued operation, every 12 months</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Ongoing</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Revalidation (6.8)</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6.2 test re-run on fresh data</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G4</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 to 2 weeks, annually or on trigger</w:t>
            </w:r>
          </w:p>
        </w:tc>
      </w:tr>
      <w:tr>
        <w:trPr>
          <w:cantSplit w:val="true"/>
        </w:trPr>
        <w:tc>
          <w:tcPr>
            <w:tcW w:w="21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Decommissioning (6.9)</w:t>
            </w:r>
          </w:p>
        </w:tc>
        <w:tc>
          <w:tcPr>
            <w:tcW w:w="29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Ordered shutdown with data return</w:t>
            </w:r>
          </w:p>
        </w:tc>
        <w:tc>
          <w:tcPr>
            <w:tcW w:w="193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Register closure</w:t>
            </w:r>
          </w:p>
        </w:tc>
        <w:tc>
          <w:tcPr>
            <w:tcW w:w="2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 to 8 weeks</w:t>
            </w:r>
          </w:p>
        </w:tc>
      </w:tr>
    </w:tbl>
    <w:p>
      <w:pPr>
        <w:pStyle w:val="Normal"/>
        <w:spacing w:before="160" w:after="100"/>
        <w:rPr/>
      </w:pPr>
      <w:bookmarkStart w:id="2" w:name="the-life-of-a-system"/>
      <w:r>
        <w:rPr/>
        <w:t>Elapsed time from contract signature to full go-live for a Tier 2 system, under these defaults: typically three to six months. Publish that expectation to leadership at G1. Small institutions: where 300 cases or a two-stage rollout exceeds what you have, the path shrinks: state on the results what a smaller sample cannot show, run shadow mode longer in place of a separate pilot, and keep every gate.</w:t>
      </w:r>
      <w:bookmarkEnd w:id="2"/>
    </w:p>
    <w:p>
      <w:pPr>
        <w:pStyle w:val="Heading2"/>
        <w:rPr/>
      </w:pPr>
      <w:bookmarkStart w:id="3" w:name="validation"/>
      <w:r>
        <w:rPr/>
        <w:t>6.2 Validation</w:t>
      </w:r>
    </w:p>
    <w:p>
      <w:pPr>
        <w:pStyle w:val="Normal"/>
        <w:rPr/>
      </w:pPr>
      <w:r>
        <w:rPr>
          <w:b/>
          <w:bCs/>
        </w:rPr>
        <w:t>What validation is here:</w:t>
      </w:r>
      <w:r>
        <w:rPr/>
        <w:t xml:space="preserve"> running the system against a sample of your institution’s own historical cases, where you already know what the right answer was, and comparing its performance to criteria you wrote down before you saw any results. No data science team is required. The method:</w:t>
      </w:r>
    </w:p>
    <w:p>
      <w:pPr>
        <w:pStyle w:val="Normal"/>
        <w:rPr/>
      </w:pPr>
      <w:r>
        <w:rPr>
          <w:b/>
          <w:bCs/>
        </w:rPr>
        <w:t>1. Fix the criteria first, in writing, at contract time.</w:t>
      </w:r>
      <w:r>
        <w:rPr/>
        <w:t xml:space="preserve"> They live in the contract’s acceptance schedule (Module 4, Clause 2), so the consequence of failure is already agreed. Three kinds of criterion:</w:t>
      </w:r>
    </w:p>
    <w:p>
      <w:pPr>
        <w:pStyle w:val="ListParagraph"/>
        <w:numPr>
          <w:ilvl w:val="0"/>
          <w:numId w:val="1"/>
        </w:numPr>
        <w:rPr/>
      </w:pPr>
      <w:r>
        <w:rPr/>
        <w:t>How often the system must be right (overall, and for the outcome that matters most, such as the cases that should be flagged).</w:t>
      </w:r>
    </w:p>
    <w:p>
      <w:pPr>
        <w:pStyle w:val="ListParagraph"/>
        <w:numPr>
          <w:ilvl w:val="0"/>
          <w:numId w:val="1"/>
        </w:numPr>
        <w:rPr/>
      </w:pPr>
      <w:r>
        <w:rPr/>
        <w:t>The worst subgroup gap you will accept (performance broken out by the groups chosen under the Module 4.2.2 rule: what you already report on, plus what your law protects, defaulting to age, sex, and language).</w:t>
      </w:r>
    </w:p>
    <w:p>
      <w:pPr>
        <w:pStyle w:val="ListParagraph"/>
        <w:numPr>
          <w:ilvl w:val="0"/>
          <w:numId w:val="1"/>
        </w:numPr>
        <w:rPr/>
      </w:pPr>
      <w:r>
        <w:rPr/>
        <w:t>The operational limits (an alert or exception rate the receiving team can absorb, which the sepsis arc above shows is a safety property rather than a convenience).</w:t>
      </w:r>
    </w:p>
    <w:p>
      <w:pPr>
        <w:pStyle w:val="Normal"/>
        <w:rPr/>
      </w:pPr>
      <w:r>
        <w:rPr>
          <w:b/>
          <w:bCs/>
        </w:rPr>
        <w:t>2. Assemble the test sample.</w:t>
      </w:r>
      <w:r>
        <w:rPr/>
        <w:t xml:space="preserve"> From your records: at least 300 cases for a Tier 2 system, and at least 30 in each subgroup you intend to report on (framework defaults; below those numbers, say on the results what the sample cannot show), drawn to resemble the population the system will serve (all sites, all seasons or cycles if your work is seasonal, and enough members of each subgroup in step 1 to say something about them; where a subgroup is small, say so in the results rather than silently dropping it). Include known hard cases and past errors on purpose.</w:t>
      </w:r>
    </w:p>
    <w:p>
      <w:pPr>
        <w:pStyle w:val="Normal"/>
        <w:rPr/>
      </w:pPr>
      <w:r>
        <w:rPr>
          <w:b/>
          <w:bCs/>
        </w:rPr>
        <w:t>3. Freeze the sample and keep it.</w:t>
      </w:r>
      <w:r>
        <w:rPr/>
        <w:t xml:space="preserve"> This set is an instrument, and you will use it again at every vendor update (6.7) and every revalidation (6.8). Store it under the Data Steward’s control, and never let it flow into any vendor system as training or improvement data, or the instrument is contaminated and measures nothing.</w:t>
      </w:r>
    </w:p>
    <w:p>
      <w:pPr>
        <w:pStyle w:val="Normal"/>
        <w:rPr/>
      </w:pPr>
      <w:r>
        <w:rPr>
          <w:b/>
          <w:bCs/>
        </w:rPr>
        <w:t>4. Run the system on the sample</w:t>
      </w:r>
      <w:r>
        <w:rPr/>
        <w:t>, with the vendor’s cooperation the contract already promised, in a test configuration that cannot touch live operations.</w:t>
      </w:r>
    </w:p>
    <w:p>
      <w:pPr>
        <w:pStyle w:val="Normal"/>
        <w:rPr/>
      </w:pPr>
      <w:r>
        <w:rPr>
          <w:b/>
          <w:bCs/>
        </w:rPr>
        <w:t>5. Score against the criteria from step 1, and only those.</w:t>
      </w:r>
      <w:r>
        <w:rPr/>
        <w:t xml:space="preserve"> The discipline of deciding the pass mark before seeing the results is the integrity of the exercise.</w:t>
      </w:r>
    </w:p>
    <w:p>
      <w:pPr>
        <w:pStyle w:val="Normal"/>
        <w:rPr/>
      </w:pPr>
      <w:r>
        <w:rPr>
          <w:b/>
          <w:bCs/>
        </w:rPr>
        <w:t>6. Compare against current practice.</w:t>
      </w:r>
      <w:r>
        <w:rPr/>
        <w:t xml:space="preserve"> Is the system better than what we do today, on these same cases? A tool that matches your current error rate while adding a vendor, a data flow, and a monthly governance load has a negative case, in writing.</w:t>
      </w:r>
    </w:p>
    <w:p>
      <w:pPr>
        <w:pStyle w:val="Normal"/>
        <w:rPr/>
      </w:pPr>
      <w:r>
        <w:rPr>
          <w:b/>
          <w:bCs/>
        </w:rPr>
        <w:t>7. Record, decide, and file at G2.</w:t>
      </w:r>
      <w:r>
        <w:rPr/>
        <w:t xml:space="preserve"> Pass: proceed to shadow mode. Fail: the contract’s acceptance clause already names your options, so use them in order:</w:t>
      </w:r>
    </w:p>
    <w:p>
      <w:pPr>
        <w:pStyle w:val="ListParagraph"/>
        <w:numPr>
          <w:ilvl w:val="0"/>
          <w:numId w:val="13"/>
        </w:numPr>
        <w:rPr/>
      </w:pPr>
      <w:r>
        <w:rPr/>
        <w:t>Require remediation and retest.</w:t>
      </w:r>
    </w:p>
    <w:p>
      <w:pPr>
        <w:pStyle w:val="ListParagraph"/>
        <w:numPr>
          <w:ilvl w:val="0"/>
          <w:numId w:val="14"/>
        </w:numPr>
        <w:rPr/>
      </w:pPr>
      <w:r>
        <w:rPr/>
        <w:t>Renegotiate scope to the uses the results support.</w:t>
      </w:r>
    </w:p>
    <w:p>
      <w:pPr>
        <w:pStyle w:val="ListParagraph"/>
        <w:numPr>
          <w:ilvl w:val="0"/>
          <w:numId w:val="15"/>
        </w:numPr>
        <w:rPr/>
      </w:pPr>
      <w:r>
        <w:rPr/>
        <w:t>Exit with your money.</w:t>
      </w:r>
    </w:p>
    <w:p>
      <w:pPr>
        <w:pStyle w:val="Normal"/>
        <w:rPr/>
      </w:pPr>
      <w:r>
        <w:rPr/>
        <w:t>What must never happen is the quiet fourth option, going live anyway with a note to watch it closely.</w:t>
      </w:r>
    </w:p>
    <w:p>
      <w:pPr>
        <w:pStyle w:val="Normal"/>
        <w:rPr/>
      </w:pPr>
      <w:r>
        <w:rPr>
          <w:b/>
          <w:bCs/>
        </w:rPr>
        <w:t>Where no ground truth exists.</w:t>
      </w:r>
      <w:r>
        <w:rPr/>
        <w:t xml:space="preserve"> Some systems produce outputs that reality never grades (plans, allocations, drafts, designs). Score the system’s outputs blind against your current process’s outputs on the same cases, judged by a small panel of your own domain experts against criteria fixed in advance, and let shadow mode (6.3) carry more of the weight. State in the results which comparator was used.</w:t>
      </w:r>
      <w:bookmarkEnd w:id="3"/>
    </w:p>
    <w:p>
      <w:pPr>
        <w:pStyle w:val="Heading2"/>
        <w:rPr/>
      </w:pPr>
      <w:bookmarkStart w:id="4" w:name="phased-rollout"/>
      <w:r>
        <w:rPr/>
        <w:t>6.3 Phased rollout</w:t>
      </w:r>
    </w:p>
    <w:p>
      <w:pPr>
        <w:pStyle w:val="Normal"/>
        <w:rPr/>
      </w:pPr>
      <w:r>
        <w:rPr>
          <w:b/>
          <w:bCs/>
        </w:rPr>
        <w:t>Shadow mode:</w:t>
      </w:r>
      <w:r>
        <w:rPr/>
        <w:t xml:space="preserve"> the system runs on live cases in real time, its outputs are recorded, and nobody acts on them; humans decide exactly as they did before, and at the end of each period the system’s outputs are compared against what the humans did and, where outcomes have landed, against what turned out to be true. It is the only stage that measures the system against reality at zero risk to any person, and it is the default first live stage for every Tier 2 system, mandatory where the Module 2 worksheet marked detectability low.</w:t>
      </w:r>
    </w:p>
    <w:p>
      <w:pPr>
        <w:pStyle w:val="Normal"/>
        <w:rPr/>
      </w:pPr>
      <w:r>
        <w:rPr/>
        <w:t>Run it for at least 4 weeks and at least 200 outputs, whichever takes longer (6 to 8 weeks where detectability is low), and use it to capture three numbers you can get nowhere else:</w:t>
      </w:r>
    </w:p>
    <w:p>
      <w:pPr>
        <w:pStyle w:val="ListParagraph"/>
        <w:numPr>
          <w:ilvl w:val="0"/>
          <w:numId w:val="16"/>
        </w:numPr>
        <w:rPr/>
      </w:pPr>
      <w:r>
        <w:rPr/>
        <w:t>The live alert or exception rate on your real caseflow (the operational criterion from 6.2 tested against reality).</w:t>
      </w:r>
    </w:p>
    <w:p>
      <w:pPr>
        <w:pStyle w:val="ListParagraph"/>
        <w:numPr>
          <w:ilvl w:val="0"/>
          <w:numId w:val="17"/>
        </w:numPr>
        <w:rPr/>
      </w:pPr>
      <w:r>
        <w:rPr/>
        <w:t>The minutes-per-case cost of real review, which Module 3.4 turns into the reviewer time budget.</w:t>
      </w:r>
    </w:p>
    <w:p>
      <w:pPr>
        <w:pStyle w:val="ListParagraph"/>
        <w:numPr>
          <w:ilvl w:val="0"/>
          <w:numId w:val="18"/>
        </w:numPr>
        <w:rPr/>
      </w:pPr>
      <w:r>
        <w:rPr/>
        <w:t>The first version of the monitoring baselines (6.4).</w:t>
      </w:r>
    </w:p>
    <w:p>
      <w:pPr>
        <w:pStyle w:val="Normal"/>
        <w:rPr/>
      </w:pPr>
      <w:r>
        <w:rPr/>
        <w:t>Shadow results go to the same criteria discipline as validation: thresholds first, results second.</w:t>
      </w:r>
    </w:p>
    <w:p>
      <w:pPr>
        <w:pStyle w:val="Normal"/>
        <w:rPr/>
      </w:pPr>
      <w:r>
        <w:rPr>
          <w:b/>
          <w:bCs/>
        </w:rPr>
        <w:t>Pilot:</w:t>
      </w:r>
      <w:r>
        <w:rPr/>
        <w:t xml:space="preserve"> limited live use, defined in one written paragraph before it starts: the scope (one site, one team, one case type), the duration (4 to 12 weeks), the success criteria, and the stop criteria, with the stop criteria carrying named numbers (“pause the pilot if the override rate exceeds x percent, if any Severity 1 incident occurs, or if weekly volume exceeds y”). The pilot ends at a decision, recorded either way.</w:t>
      </w:r>
    </w:p>
    <w:p>
      <w:pPr>
        <w:pStyle w:val="Normal"/>
        <w:rPr/>
      </w:pPr>
      <w:r>
        <w:rPr>
          <w:b/>
          <w:bCs/>
        </w:rPr>
        <w:t>Scale:</w:t>
      </w:r>
      <w:r>
        <w:rPr/>
        <w:t xml:space="preserve"> expansion beyond the pilot’s written scope is a G3 gate signature (System Owner and Independent Reviewer). Each further major expansion (a new site, a new population, a new decision type) repeats in miniature: check the Module 2 worksheet still describes the use, then a short shadow or pilot period sized to the change.</w:t>
      </w:r>
      <w:bookmarkEnd w:id="4"/>
    </w:p>
    <w:p>
      <w:pPr>
        <w:pStyle w:val="Heading2"/>
        <w:rPr/>
      </w:pPr>
      <w:bookmarkStart w:id="5" w:name="monitoring"/>
      <w:r>
        <w:rPr/>
        <w:t>6.4 Monitoring</w:t>
      </w:r>
    </w:p>
    <w:p>
      <w:pPr>
        <w:pStyle w:val="Normal"/>
        <w:rPr/>
      </w:pPr>
      <w:r>
        <w:rPr/>
        <w:t xml:space="preserve">Monitoring is a one-page plan per system (Artifact 6b), written before go-live, with columns: what is measured, how often, who looks, and the two thresholds at which someone must act. </w:t>
      </w:r>
      <w:r>
        <w:rPr>
          <w:b/>
          <w:bCs/>
        </w:rPr>
        <w:t>A monitoring report nobody is named to read is not monitoring</w:t>
      </w:r>
      <w:r>
        <w:rPr/>
        <w:t>, which is why the plan’s “who looks” column carries names from the Module 3 RACI rather than team titles.</w:t>
      </w:r>
    </w:p>
    <w:p>
      <w:pPr>
        <w:pStyle w:val="Normal"/>
        <w:rPr/>
      </w:pPr>
      <w:r>
        <w:rPr>
          <w:b/>
          <w:bCs/>
        </w:rPr>
        <w:t>What to measure.</w:t>
      </w:r>
      <w:r>
        <w:rPr/>
        <w:t xml:space="preserve"> The default metric set for a Tier 2 system; delete what does not apply and say why on the plan:</w:t>
      </w:r>
    </w:p>
    <w:p>
      <w:pPr>
        <w:pStyle w:val="ListParagraph"/>
        <w:numPr>
          <w:ilvl w:val="0"/>
          <w:numId w:val="19"/>
        </w:numPr>
        <w:rPr/>
      </w:pPr>
      <w:r>
        <w:rPr>
          <w:b/>
          <w:bCs/>
        </w:rPr>
        <w:t>Volume:</w:t>
      </w:r>
      <w:r>
        <w:rPr/>
        <w:t xml:space="preserve"> outputs per week, by site or channel.</w:t>
      </w:r>
    </w:p>
    <w:p>
      <w:pPr>
        <w:pStyle w:val="ListParagraph"/>
        <w:numPr>
          <w:ilvl w:val="0"/>
          <w:numId w:val="4"/>
        </w:numPr>
        <w:rPr/>
      </w:pPr>
      <w:r>
        <w:rPr>
          <w:b/>
          <w:bCs/>
        </w:rPr>
        <w:t>Output distribution:</w:t>
      </w:r>
      <w:r>
        <w:rPr/>
        <w:t xml:space="preserve"> the rates of each outcome class (flagged and unflagged, approved and referred, each score band). </w:t>
      </w:r>
      <w:r>
        <w:rPr>
          <w:b/>
          <w:bCs/>
        </w:rPr>
        <w:t>Drift</w:t>
      </w:r>
      <w:r>
        <w:rPr/>
        <w:t xml:space="preserve"> is the slow movement of these rates away from the baselines captured in shadow mode, without anyone having changed anything; it happens because the world the system was trained on stops matching the world it runs in.</w:t>
      </w:r>
    </w:p>
    <w:p>
      <w:pPr>
        <w:pStyle w:val="ListParagraph"/>
        <w:numPr>
          <w:ilvl w:val="0"/>
          <w:numId w:val="4"/>
        </w:numPr>
        <w:rPr/>
      </w:pPr>
      <w:r>
        <w:rPr>
          <w:b/>
          <w:bCs/>
        </w:rPr>
        <w:t>Human interaction rates:</w:t>
      </w:r>
      <w:r>
        <w:rPr/>
        <w:t xml:space="preserve"> overrides, exceptions, and written-reason patterns, per Module 3.5, with its two investigation thresholds (below 1 percent and above 30 percent) copied onto this plan.</w:t>
      </w:r>
    </w:p>
    <w:p>
      <w:pPr>
        <w:pStyle w:val="ListParagraph"/>
        <w:numPr>
          <w:ilvl w:val="0"/>
          <w:numId w:val="4"/>
        </w:numPr>
        <w:rPr/>
      </w:pPr>
      <w:r>
        <w:rPr>
          <w:b/>
          <w:bCs/>
        </w:rPr>
        <w:t>The failures that produce no alert, counted deliberately.</w:t>
      </w:r>
      <w:r>
        <w:rPr/>
        <w:t xml:space="preserve"> A system’s visible errors announce themselves; its silent ones (the patient never flagged, the claim never selected, the fraud never scored) are invisible because the system’s silence looks the same whether it is right or wrong. Three mechanisms count them:</w:t>
      </w:r>
    </w:p>
    <w:p>
      <w:pPr>
        <w:pStyle w:val="ListParagraph"/>
        <w:numPr>
          <w:ilvl w:val="1"/>
          <w:numId w:val="20"/>
        </w:numPr>
        <w:rPr/>
      </w:pPr>
      <w:r>
        <w:rPr/>
        <w:t>The monthly unflagged-case audit (pull a sample of cases the system did not act on, 20 cases or 2 percent monthly, whichever is larger, and have a human check what happened to them).</w:t>
      </w:r>
    </w:p>
    <w:p>
      <w:pPr>
        <w:pStyle w:val="ListParagraph"/>
        <w:numPr>
          <w:ilvl w:val="1"/>
          <w:numId w:val="21"/>
        </w:numPr>
        <w:rPr/>
      </w:pPr>
      <w:r>
        <w:rPr/>
        <w:t>The blind second review sample already running under Module 3.5.</w:t>
      </w:r>
    </w:p>
    <w:p>
      <w:pPr>
        <w:pStyle w:val="ListParagraph"/>
        <w:numPr>
          <w:ilvl w:val="1"/>
          <w:numId w:val="22"/>
        </w:numPr>
        <w:rPr/>
      </w:pPr>
      <w:r>
        <w:rPr/>
        <w:t>Outcome follow-up where reality eventually reports the answer (the missed sepsis case surfaces in the clinical record; the missed fraud surfaces in later audits), which means someone is named to reconcile outcomes against the system’s old outputs quarterly.</w:t>
      </w:r>
    </w:p>
    <w:p>
      <w:pPr>
        <w:pStyle w:val="ListParagraph"/>
        <w:numPr>
          <w:ilvl w:val="0"/>
          <w:numId w:val="4"/>
        </w:numPr>
        <w:rPr/>
      </w:pPr>
      <w:r>
        <w:rPr>
          <w:b/>
          <w:bCs/>
        </w:rPr>
        <w:t>Subgroup performance,</w:t>
      </w:r>
      <w:r>
        <w:rPr/>
        <w:t xml:space="preserve"> on the same groups as validation, wherever outcome data allows; where it does not, the unflagged-case audit sample is stratified by those groups instead, so the question is still being asked.</w:t>
      </w:r>
    </w:p>
    <w:p>
      <w:pPr>
        <w:pStyle w:val="ListParagraph"/>
        <w:numPr>
          <w:ilvl w:val="0"/>
          <w:numId w:val="4"/>
        </w:numPr>
        <w:rPr/>
      </w:pPr>
      <w:r>
        <w:rPr>
          <w:b/>
          <w:bCs/>
        </w:rPr>
        <w:t>Complaints and appeals</w:t>
      </w:r>
      <w:r>
        <w:rPr/>
        <w:t xml:space="preserve"> (6.5): counts, themes, and outcomes, as a monitoring input on equal footing with the technical metrics, because the affected person is often the only sensor that ever meets the error.</w:t>
      </w:r>
    </w:p>
    <w:p>
      <w:pPr>
        <w:pStyle w:val="ListParagraph"/>
        <w:numPr>
          <w:ilvl w:val="0"/>
          <w:numId w:val="4"/>
        </w:numPr>
        <w:rPr/>
      </w:pPr>
      <w:r>
        <w:rPr>
          <w:b/>
          <w:bCs/>
        </w:rPr>
        <w:t>Input data quality:</w:t>
      </w:r>
      <w:r>
        <w:rPr/>
        <w:t xml:space="preserve"> missing fields, malformed records, and source changes. (The Data Steward’s change-approval duty in Module 3 is the detection mechanism for source changes: any approved change to sources appears in this row’s notes for the month it happened.)</w:t>
      </w:r>
    </w:p>
    <w:p>
      <w:pPr>
        <w:pStyle w:val="Normal"/>
        <w:rPr/>
      </w:pPr>
      <w:r>
        <w:rPr>
          <w:b/>
          <w:bCs/>
        </w:rPr>
        <w:t>Cadence and eyes.</w:t>
      </w:r>
      <w:r>
        <w:rPr/>
        <w:t xml:space="preserve"> Operational Lead: weekly glance at volume and interaction rates for low-detectability systems, monthly full review for every Tier 2 system, producing the one-page summary the System Owner receives (Module 3). Tier 3: monthly against actuals. Tier 4: an annual sanity check.</w:t>
      </w:r>
    </w:p>
    <w:p>
      <w:pPr>
        <w:pStyle w:val="Normal"/>
        <w:rPr/>
      </w:pPr>
      <w:r>
        <w:rPr>
          <w:b/>
          <w:bCs/>
        </w:rPr>
        <w:t>Thresholds, two levels, written before go-live.</w:t>
      </w:r>
      <w:r>
        <w:rPr/>
        <w:t xml:space="preserve"> For each metric: an </w:t>
      </w:r>
      <w:r>
        <w:rPr>
          <w:b/>
          <w:bCs/>
        </w:rPr>
        <w:t>investigate</w:t>
      </w:r>
      <w:r>
        <w:rPr/>
        <w:t xml:space="preserve"> level (someone looks within 5 working days and records what they found) and an </w:t>
      </w:r>
      <w:r>
        <w:rPr>
          <w:b/>
          <w:bCs/>
        </w:rPr>
        <w:t>act</w:t>
      </w:r>
      <w:r>
        <w:rPr/>
        <w:t xml:space="preserve"> level (the Operational Lead’s pause authority is triggered and the incident question is asked the same day). The plan template forces both numbers at go-live.</w:t>
      </w:r>
      <w:bookmarkEnd w:id="5"/>
    </w:p>
    <w:p>
      <w:pPr>
        <w:pStyle w:val="Heading2"/>
        <w:rPr/>
      </w:pPr>
      <w:bookmarkStart w:id="6" w:name="Xe058151b1511b6d132d4cb6777e53ac9140bd65"/>
      <w:r>
        <w:rPr/>
        <w:t>6.5 Complaints and appeals from affected persons</w:t>
      </w:r>
    </w:p>
    <w:p>
      <w:pPr>
        <w:pStyle w:val="Normal"/>
        <w:rPr/>
      </w:pPr>
      <w:r>
        <w:rPr/>
        <w:t>As a matter of fairness, someone who loses care, money, benefits, or standing to a decision a system shaped is owed a route to a human who can look again; the values instruments this framework maps to (Module 1) all say so. And as a matter of engineering, section 6.4 already counted the appeal channel among the monitoring instruments.</w:t>
      </w:r>
    </w:p>
    <w:p>
      <w:pPr>
        <w:pStyle w:val="Normal"/>
        <w:rPr/>
      </w:pPr>
      <w:r>
        <w:rPr/>
        <w:t>Design the channel before go-live; the G3 gate checks it exists. Five design points, each with its default:</w:t>
      </w:r>
    </w:p>
    <w:p>
      <w:pPr>
        <w:pStyle w:val="Normal"/>
        <w:rPr/>
      </w:pPr>
      <w:r>
        <w:rPr>
          <w:b/>
          <w:bCs/>
        </w:rPr>
        <w:t>1. The notice.</w:t>
      </w:r>
      <w:r>
        <w:rPr/>
        <w:t xml:space="preserve"> Wherever a person meets a decision the system informed (the letter, the portal message, the counter), they are told, in plain language: that they can ask for the decision to be looked at again, how (a named channel: a form, an address, a phone line, a counter), and by when they will hear back. Artifact 6c is the template. For conversational systems there is no decision letter, so the channel is built into the interface instead: a visible route to challenge an answer on every session, carrying the session identifier as the reference, with the same clocks, and the notice text published where the chat is offered. </w:t>
      </w:r>
      <w:r>
        <w:rPr>
          <w:b/>
          <w:bCs/>
        </w:rPr>
        <w:t>Check locally:</w:t>
      </w:r>
      <w:r>
        <w:rPr/>
        <w:t xml:space="preserve"> some laws require telling people that an automated system was involved in a decision, and some grant explicit rights to human review; your notice must satisfy whichever applies, and this framework’s notice is the floor.</w:t>
      </w:r>
    </w:p>
    <w:p>
      <w:pPr>
        <w:pStyle w:val="Normal"/>
        <w:rPr/>
      </w:pPr>
      <w:r>
        <w:rPr>
          <w:b/>
          <w:bCs/>
        </w:rPr>
        <w:t>2. The clock.</w:t>
      </w:r>
      <w:r>
        <w:rPr/>
        <w:t xml:space="preserve"> Acknowledgement within 5 working days; a substantive answer within 20 working days (framework defaults). Where your law or sector rules set shorter deadlines, those govern; write the governing number on the notice and hold it.</w:t>
      </w:r>
    </w:p>
    <w:p>
      <w:pPr>
        <w:pStyle w:val="Normal"/>
        <w:rPr/>
      </w:pPr>
      <w:r>
        <w:rPr>
          <w:b/>
          <w:bCs/>
        </w:rPr>
        <w:t>3. Fresh eyes with real information.</w:t>
      </w:r>
      <w:r>
        <w:rPr/>
        <w:t xml:space="preserve"> The appeal is decided by a person who did not make or review the original decision, working with the Module 3.4 information set: the inputs, the system’s output and whatever it can show about its reasoning, the original reviewer’s recorded reason, and the underlying record. The reviewer decides the case on its merits, and their authority to depart from the system’s output is the same authority Module 3.4 defined, with the same protection.</w:t>
      </w:r>
    </w:p>
    <w:p>
      <w:pPr>
        <w:pStyle w:val="Normal"/>
        <w:rPr/>
      </w:pPr>
      <w:r>
        <w:rPr>
          <w:b/>
          <w:bCs/>
        </w:rPr>
        <w:t>4. The log.</w:t>
      </w:r>
      <w:r>
        <w:rPr/>
        <w:t xml:space="preserve"> Every appeal is logged: received, decided, outcome (upheld, varied, or confirmed), and the one-line reason. The log feeds the monitoring plan, and themes get read monthly by the Operational Lead beside the technical metrics.</w:t>
      </w:r>
    </w:p>
    <w:p>
      <w:pPr>
        <w:pStyle w:val="Normal"/>
        <w:rPr/>
      </w:pPr>
      <w:r>
        <w:rPr>
          <w:b/>
          <w:bCs/>
        </w:rPr>
        <w:t>5. The trigger.</w:t>
      </w:r>
      <w:r>
        <w:rPr/>
        <w:t xml:space="preserve"> An upheld appeal that reveals a systematic error (the same failure would affect other people) is an incident under 6.6 the day it is upheld. Three upheld appeals traceable to the system in a quarter (a framework default) trigger the incident question automatically, whatever the individual explanations.</w:t>
      </w:r>
    </w:p>
    <w:p>
      <w:pPr>
        <w:pStyle w:val="Normal"/>
        <w:rPr/>
      </w:pPr>
      <w:bookmarkStart w:id="7" w:name="Xe058151b1511b6d132d4cb6777e53ac9140bd65"/>
      <w:r>
        <w:rPr/>
        <w:t>The cost of all five points, for most institutions, is a template, a mailbox, a log, and a duty rota measured in hours per month.</w:t>
      </w:r>
      <w:bookmarkEnd w:id="7"/>
    </w:p>
    <w:p>
      <w:pPr>
        <w:pStyle w:val="Heading2"/>
        <w:rPr/>
      </w:pPr>
      <w:bookmarkStart w:id="8" w:name="incident-response"/>
      <w:r>
        <w:rPr/>
        <w:t>6.6 Incident response</w:t>
      </w:r>
    </w:p>
    <w:p>
      <w:pPr>
        <w:pStyle w:val="Normal"/>
        <w:rPr/>
      </w:pPr>
      <w:r>
        <w:rPr>
          <w:b/>
          <w:bCs/>
        </w:rPr>
        <w:t>What counts as an incident.</w:t>
      </w:r>
      <w:r>
        <w:rPr/>
        <w:t xml:space="preserve"> Any of the following, and the list is deliberately closed:</w:t>
      </w:r>
    </w:p>
    <w:p>
      <w:pPr>
        <w:pStyle w:val="ListParagraph"/>
        <w:numPr>
          <w:ilvl w:val="0"/>
          <w:numId w:val="23"/>
        </w:numPr>
        <w:rPr/>
      </w:pPr>
      <w:r>
        <w:rPr/>
        <w:t>A wrong or harmful output reached an affected person, including through an oversight bypass (the Module 3.6 bypass rule points here).</w:t>
      </w:r>
    </w:p>
    <w:p>
      <w:pPr>
        <w:pStyle w:val="ListParagraph"/>
        <w:numPr>
          <w:ilvl w:val="0"/>
          <w:numId w:val="24"/>
        </w:numPr>
        <w:rPr/>
      </w:pPr>
      <w:r>
        <w:rPr/>
        <w:t>A systematic error is discovered by any route: validation, monitoring, the unflagged-case audit, an upheld appeal under 6.5, or staff report.</w:t>
      </w:r>
    </w:p>
    <w:p>
      <w:pPr>
        <w:pStyle w:val="ListParagraph"/>
        <w:numPr>
          <w:ilvl w:val="0"/>
          <w:numId w:val="25"/>
        </w:numPr>
        <w:rPr/>
      </w:pPr>
      <w:r>
        <w:rPr/>
        <w:t>A security event touches the system or its data (coordinate with the institution’s general security process; the Module 5 controls are the evidence sources).</w:t>
      </w:r>
    </w:p>
    <w:p>
      <w:pPr>
        <w:pStyle w:val="ListParagraph"/>
        <w:numPr>
          <w:ilvl w:val="0"/>
          <w:numId w:val="26"/>
        </w:numPr>
        <w:rPr/>
      </w:pPr>
      <w:r>
        <w:rPr/>
        <w:t>The vendor notifies a material defect, its own breach, or an incident at another customer of the same product (the Module 4 Clauses 8 and 9 made them tell you).</w:t>
      </w:r>
    </w:p>
    <w:p>
      <w:pPr>
        <w:pStyle w:val="ListParagraph"/>
        <w:numPr>
          <w:ilvl w:val="0"/>
          <w:numId w:val="27"/>
        </w:numPr>
        <w:rPr/>
      </w:pPr>
      <w:r>
        <w:rPr/>
        <w:t>An unnotified change to the model or to system behaviour is discovered (see 6.7). Routine maintenance of the surrounding software that changes neither the model nor its behaviour is not an incident; it is the short path in 6.7 step 2.</w:t>
      </w:r>
    </w:p>
    <w:p>
      <w:pPr>
        <w:pStyle w:val="Normal"/>
        <w:rPr/>
      </w:pPr>
      <w:r>
        <w:rPr>
          <w:b/>
          <w:bCs/>
        </w:rPr>
        <w:t>Severity, aligned with the contract’s definitions (Module 4.3.12):</w:t>
      </w:r>
      <w:r>
        <w:rPr/>
        <w:t xml:space="preserve"> Severity 1, wrong or harmful outputs are reaching people now; Severity 2, the system is unavailable or known to be producing unreliable outputs but they are contained; Severity 3, degraded, suspected, or near-miss.</w:t>
      </w:r>
    </w:p>
    <w:p>
      <w:pPr>
        <w:pStyle w:val="Normal"/>
        <w:keepNext w:val="true"/>
        <w:rPr/>
      </w:pPr>
      <w:r>
        <w:rPr>
          <w:b/>
          <w:bCs/>
        </w:rPr>
        <w:t>The response steps, with clocks.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061"/>
        <w:gridCol w:w="4700"/>
        <w:gridCol w:w="1775"/>
        <w:gridCol w:w="1761"/>
      </w:tblGrid>
      <w:tr>
        <w:trPr>
          <w:tblHeader w:val="true"/>
          <w:cantSplit w:val="true"/>
        </w:trPr>
        <w:tc>
          <w:tcPr>
            <w:tcW w:w="10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Step</w:t>
            </w:r>
          </w:p>
        </w:tc>
        <w:tc>
          <w:tcPr>
            <w:tcW w:w="470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What</w:t>
            </w:r>
          </w:p>
        </w:tc>
        <w:tc>
          <w:tcPr>
            <w:tcW w:w="177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Who</w:t>
            </w:r>
          </w:p>
        </w:tc>
        <w:tc>
          <w:tcPr>
            <w:tcW w:w="17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Clock (Severity 1 / 2 / 3)</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Contain</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Pause the system or the affected output channel; stop the harm first and investigate second</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 (48-hour pause authority), any reviewer for a single output (Module 3.6)</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Immediately / same day / at next review</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Declare</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incident record opened from the Module 7 template</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 declares; System Owner informed</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Within 4 working hours / 24 hours / 5 working days</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Assess</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What happened, who was affected, since when; the audit logs demanded in Module 4.2.4 are the evidence</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 with the vendor’s cooperation under contract</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First written assessment within 5 working days</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Notify</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Internal: System Owner and leadership per severity. External: affected persons, and regulators where required. </w:t>
            </w:r>
            <w:r>
              <w:rPr>
                <w:rFonts w:eastAsia="Calibri" w:cs="Calibri"/>
                <w:b/>
                <w:bCs/>
                <w:kern w:val="0"/>
                <w:lang w:val="en-GB" w:eastAsia="en-GB" w:bidi="ar-SA"/>
              </w:rPr>
              <w:t>Check locally:</w:t>
            </w:r>
            <w:r>
              <w:rPr>
                <w:rFonts w:eastAsia="Calibri" w:cs="Calibri"/>
                <w:kern w:val="0"/>
                <w:lang w:val="en-GB" w:eastAsia="en-GB" w:bidi="ar-SA"/>
              </w:rPr>
              <w:t xml:space="preserve"> breach and incident notification duties and deadlines vary; your Module 5 checklist named the instruments, and the vendor’s notification clock (Module 4, Clause 8) was set to run faster than yours for exactly this moment</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owns the decision; Data Steward for data-protection notifications</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Per the governing law’s clock, decided within the assessment window</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Remediate</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Fix, retrain, reconfigure, or restrict; where people were affected, correct the decisions themselves: where law permits, reopen them proactively through the appeal machinery in 6.5 rather than waiting to be asked, and where the decisions carry legal finality (settled assessments, concluded proceedings, closed accounts), take the reopening question to counsel first, because in some sectors unilateral reopening is itself unlawful</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directs</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Plan within 10 working days</w:t>
            </w:r>
          </w:p>
        </w:tc>
      </w:tr>
      <w:tr>
        <w:trPr>
          <w:cantSplit w:val="true"/>
        </w:trPr>
        <w:tc>
          <w:tcPr>
            <w:tcW w:w="10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Record and learn</w:t>
            </w:r>
          </w:p>
        </w:tc>
        <w:tc>
          <w:tcPr>
            <w:tcW w:w="47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Close the incident with a written record: cause, effect, changes made; file in the register; feed any new failure mode into reviewer training (Module 3.4) and the monitoring plan</w:t>
            </w:r>
          </w:p>
        </w:tc>
        <w:tc>
          <w:tcPr>
            <w:tcW w:w="17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1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At closure</w:t>
            </w:r>
          </w:p>
        </w:tc>
      </w:tr>
    </w:tbl>
    <w:p>
      <w:pPr>
        <w:pStyle w:val="Normal"/>
        <w:spacing w:before="160" w:after="100"/>
        <w:rPr/>
      </w:pPr>
      <w:r>
        <w:rPr>
          <w:b/>
          <w:bCs/>
        </w:rPr>
        <w:t>Restart.</w:t>
      </w:r>
      <w:r>
        <w:rPr/>
        <w:t xml:space="preserve"> A paused Tier 2 system restarts only on the System Owner’s signature, after the relevant slice of validation (6.2) or the frozen test set (6.7) has been re-run and passed.</w:t>
      </w:r>
      <w:bookmarkEnd w:id="8"/>
    </w:p>
    <w:p>
      <w:pPr>
        <w:pStyle w:val="Heading2"/>
        <w:rPr/>
      </w:pPr>
      <w:bookmarkStart w:id="9" w:name="vendor-updates"/>
      <w:r>
        <w:rPr/>
        <w:t>6.7 Vendor updates</w:t>
      </w:r>
    </w:p>
    <w:p>
      <w:pPr>
        <w:pStyle w:val="Normal"/>
        <w:rPr/>
      </w:pPr>
      <w:r>
        <w:rPr/>
        <w:t>The arc in 6.1 ends with the vendor itself overhauling the model and moving to local training: versions change, materially, under every deployer. Module 4’s Clause 5 bought you the rights this section spends: notice, a changelog, a test window, and the ability to stay on your version. The operating routine, run by the Operational Lead for every update notice:</w:t>
      </w:r>
    </w:p>
    <w:p>
      <w:pPr>
        <w:pStyle w:val="Normal"/>
        <w:rPr/>
      </w:pPr>
      <w:r>
        <w:rPr>
          <w:b/>
          <w:bCs/>
        </w:rPr>
        <w:t>1. Log it.</w:t>
      </w:r>
      <w:r>
        <w:rPr/>
        <w:t xml:space="preserve"> Every update notice goes in the system’s change log with its date, the vendor’s changelog, and the planned decision date inside the notice window.</w:t>
      </w:r>
    </w:p>
    <w:p>
      <w:pPr>
        <w:pStyle w:val="Normal"/>
        <w:rPr/>
      </w:pPr>
      <w:r>
        <w:rPr>
          <w:b/>
          <w:bCs/>
        </w:rPr>
        <w:t>2. Read the changelog against your use.</w:t>
      </w:r>
      <w:r>
        <w:rPr/>
        <w:t xml:space="preserve"> Three questions, recorded in one paragraph: Does the change touch the model or only the surrounding software? Does it touch the inputs, outputs, or decision logic of our use case? Does the vendor’s own description mention changed behaviour, retraining, or new data? Software-only changes with no behavioural claims can take the short path (apply in a maintenance window, watch the monitoring for two weeks). Everything else takes the full path. Vendors on continuous deployment pipelines push software changes constantly; the contract’s notice clause governs model and behaviour changes, and this routine is scoped to match.</w:t>
      </w:r>
    </w:p>
    <w:p>
      <w:pPr>
        <w:pStyle w:val="Normal"/>
        <w:rPr/>
      </w:pPr>
      <w:r>
        <w:rPr>
          <w:b/>
          <w:bCs/>
        </w:rPr>
        <w:t>3. Re-run the frozen test set.</w:t>
      </w:r>
      <w:r>
        <w:rPr/>
        <w:t xml:space="preserve"> The validation sample frozen in 6.2 step 3 is re-run against the new version in the test window, and scored against the same criteria as the original acceptance. This is a day or two of work. For generative tools, the equivalent instrument is a </w:t>
      </w:r>
      <w:r>
        <w:rPr>
          <w:b/>
          <w:bCs/>
        </w:rPr>
        <w:t>frozen prompt set</w:t>
      </w:r>
      <w:r>
        <w:rPr/>
        <w:t>: 30 to 50 representative tasks from your actual use, each with notes on what an acceptable answer contains, assembled during validation and re-run on every model change; generative updates change behaviour broadly.</w:t>
      </w:r>
    </w:p>
    <w:p>
      <w:pPr>
        <w:pStyle w:val="Normal"/>
        <w:rPr/>
      </w:pPr>
      <w:r>
        <w:rPr>
          <w:b/>
          <w:bCs/>
        </w:rPr>
        <w:t>4. Decide, in writing, inside the window.</w:t>
      </w:r>
    </w:p>
    <w:p>
      <w:pPr>
        <w:pStyle w:val="ListParagraph"/>
        <w:numPr>
          <w:ilvl w:val="0"/>
          <w:numId w:val="28"/>
        </w:numPr>
        <w:rPr/>
      </w:pPr>
      <w:r>
        <w:rPr/>
        <w:t>Accept (results hold: apply, update the register with the new version identifier, brief reviewers on any changed failure modes per Module 3.4).</w:t>
      </w:r>
    </w:p>
    <w:p>
      <w:pPr>
        <w:pStyle w:val="ListParagraph"/>
        <w:numPr>
          <w:ilvl w:val="0"/>
          <w:numId w:val="29"/>
        </w:numPr>
        <w:rPr/>
      </w:pPr>
      <w:r>
        <w:rPr/>
        <w:t>Defer (results worsen or are unclear: stay on the current version under the contract’s version-hold right, tell the vendor what failed, retest their fix).</w:t>
      </w:r>
    </w:p>
    <w:p>
      <w:pPr>
        <w:pStyle w:val="ListParagraph"/>
        <w:numPr>
          <w:ilvl w:val="0"/>
          <w:numId w:val="30"/>
        </w:numPr>
        <w:rPr/>
      </w:pPr>
      <w:r>
        <w:rPr/>
        <w:t>Refuse and escalate (the vendor cannot or will not fix, and the version-hold period is finite: this goes to the System Owner as a G4-level decision, because a permanently unacceptable update is the beginning of decommissioning, 6.9).</w:t>
      </w:r>
    </w:p>
    <w:p>
      <w:pPr>
        <w:pStyle w:val="Normal"/>
        <w:rPr/>
      </w:pPr>
      <w:r>
        <w:rPr>
          <w:b/>
          <w:bCs/>
        </w:rPr>
        <w:t>5. Treat silent updates as incidents.</w:t>
      </w:r>
      <w:r>
        <w:rPr/>
        <w:t xml:space="preserve"> If monitoring moves and the investigation finds the model changed without notice, that is incident type 5 under 6.6 and a breach of Clause 5: contain, document, and put the vendor’s explanation in writing.</w:t>
      </w:r>
    </w:p>
    <w:p>
      <w:pPr>
        <w:pStyle w:val="Normal"/>
        <w:rPr/>
      </w:pPr>
      <w:r>
        <w:rPr>
          <w:b/>
          <w:bCs/>
        </w:rPr>
        <w:t>Emergency security patches</w:t>
      </w:r>
      <w:r>
        <w:rPr/>
        <w:t xml:space="preserve"> take the contract’s exception lane: applied fast, with notice following, and the frozen test set run immediately after application rather than before.</w:t>
      </w:r>
      <w:bookmarkEnd w:id="9"/>
    </w:p>
    <w:p>
      <w:pPr>
        <w:pStyle w:val="Heading2"/>
        <w:rPr/>
      </w:pPr>
      <w:bookmarkStart w:id="10" w:name="periodic-revalidation"/>
      <w:r>
        <w:rPr/>
        <w:t>6.8 Periodic revalidation</w:t>
      </w:r>
    </w:p>
    <w:p>
      <w:pPr>
        <w:pStyle w:val="Normal"/>
        <w:rPr/>
      </w:pPr>
      <w:r>
        <w:rPr/>
        <w:t>Once a year for Tier 2 (24 months for Tier 3), and immediately on any of these triggers:</w:t>
      </w:r>
    </w:p>
    <w:p>
      <w:pPr>
        <w:pStyle w:val="ListParagraph"/>
        <w:numPr>
          <w:ilvl w:val="0"/>
          <w:numId w:val="31"/>
        </w:numPr>
        <w:rPr/>
      </w:pPr>
      <w:r>
        <w:rPr/>
        <w:t>A Module 2 re-tier trigger fires.</w:t>
      </w:r>
    </w:p>
    <w:p>
      <w:pPr>
        <w:pStyle w:val="ListParagraph"/>
        <w:numPr>
          <w:ilvl w:val="0"/>
          <w:numId w:val="32"/>
        </w:numPr>
        <w:rPr/>
      </w:pPr>
      <w:r>
        <w:rPr/>
        <w:t>Monitoring crosses an act threshold.</w:t>
      </w:r>
    </w:p>
    <w:p>
      <w:pPr>
        <w:pStyle w:val="ListParagraph"/>
        <w:numPr>
          <w:ilvl w:val="0"/>
          <w:numId w:val="33"/>
        </w:numPr>
        <w:rPr/>
      </w:pPr>
      <w:r>
        <w:rPr/>
        <w:t>An accepted major update (the 6.7 re-run counts as the revalidation if full).</w:t>
      </w:r>
    </w:p>
    <w:p>
      <w:pPr>
        <w:pStyle w:val="ListParagraph"/>
        <w:numPr>
          <w:ilvl w:val="0"/>
          <w:numId w:val="34"/>
        </w:numPr>
        <w:rPr/>
      </w:pPr>
      <w:r>
        <w:rPr/>
        <w:t>The served population or upstream data sources change materially.</w:t>
      </w:r>
    </w:p>
    <w:p>
      <w:pPr>
        <w:pStyle w:val="ListParagraph"/>
        <w:numPr>
          <w:ilvl w:val="0"/>
          <w:numId w:val="35"/>
        </w:numPr>
        <w:rPr/>
      </w:pPr>
      <w:r>
        <w:rPr/>
        <w:t>An incident closes with cause unknown.</w:t>
      </w:r>
    </w:p>
    <w:p>
      <w:pPr>
        <w:pStyle w:val="Normal"/>
        <w:rPr/>
      </w:pPr>
      <w:bookmarkStart w:id="11" w:name="periodic-revalidation"/>
      <w:r>
        <w:rPr/>
        <w:t>The exercise is 6.2 in light form: refresh the frozen sample with recent cases (retire the oldest, keep the hard ones, keep the subgroup coverage), re-run, score against the same criteria, and file at G4. One to two weeks of elapsed time. A revalidation that fails goes down the same three-option path as a failed acceptance, with the contract’s performance warranty (Clause 3) now doing the work Clause 2 did at the start.</w:t>
      </w:r>
      <w:bookmarkEnd w:id="11"/>
    </w:p>
    <w:p>
      <w:pPr>
        <w:pStyle w:val="Heading2"/>
        <w:rPr/>
      </w:pPr>
      <w:bookmarkStart w:id="12" w:name="decommissioning"/>
      <w:r>
        <w:rPr/>
        <w:t>6.9 Decommissioning</w:t>
      </w:r>
    </w:p>
    <w:p>
      <w:pPr>
        <w:pStyle w:val="Normal"/>
        <w:rPr/>
      </w:pPr>
      <w:r>
        <w:rPr/>
        <w:t>The System Owner takes the decommissioning decision, in writing, when any of these occurs:</w:t>
      </w:r>
    </w:p>
    <w:p>
      <w:pPr>
        <w:pStyle w:val="ListParagraph"/>
        <w:numPr>
          <w:ilvl w:val="0"/>
          <w:numId w:val="36"/>
        </w:numPr>
        <w:rPr/>
      </w:pPr>
      <w:r>
        <w:rPr/>
        <w:t>A failed revalidation the vendor cannot cure.</w:t>
      </w:r>
    </w:p>
    <w:p>
      <w:pPr>
        <w:pStyle w:val="ListParagraph"/>
        <w:numPr>
          <w:ilvl w:val="0"/>
          <w:numId w:val="37"/>
        </w:numPr>
        <w:rPr/>
      </w:pPr>
      <w:r>
        <w:rPr/>
        <w:t>An update impasse under 6.7.</w:t>
      </w:r>
    </w:p>
    <w:p>
      <w:pPr>
        <w:pStyle w:val="ListParagraph"/>
        <w:numPr>
          <w:ilvl w:val="0"/>
          <w:numId w:val="38"/>
        </w:numPr>
        <w:rPr/>
      </w:pPr>
      <w:r>
        <w:rPr/>
        <w:t>The contract’s exit triggers (Module 4, Clause 11).</w:t>
      </w:r>
    </w:p>
    <w:p>
      <w:pPr>
        <w:pStyle w:val="ListParagraph"/>
        <w:numPr>
          <w:ilvl w:val="0"/>
          <w:numId w:val="39"/>
        </w:numPr>
        <w:rPr/>
      </w:pPr>
      <w:r>
        <w:rPr/>
        <w:t>A better alternative passing its own validation.</w:t>
      </w:r>
    </w:p>
    <w:p>
      <w:pPr>
        <w:pStyle w:val="ListParagraph"/>
        <w:numPr>
          <w:ilvl w:val="0"/>
          <w:numId w:val="40"/>
        </w:numPr>
        <w:rPr/>
      </w:pPr>
      <w:r>
        <w:rPr/>
        <w:t>The purpose itself ending.</w:t>
      </w:r>
    </w:p>
    <w:p>
      <w:pPr>
        <w:pStyle w:val="Normal"/>
        <w:rPr/>
      </w:pPr>
      <w:r>
        <w:rPr/>
        <w:t>From decision to closure, the sequence, in order:</w:t>
      </w:r>
    </w:p>
    <w:p>
      <w:pPr>
        <w:pStyle w:val="ListParagraph"/>
        <w:numPr>
          <w:ilvl w:val="0"/>
          <w:numId w:val="41"/>
        </w:numPr>
        <w:rPr/>
      </w:pPr>
      <w:r>
        <w:rPr>
          <w:b/>
          <w:bCs/>
        </w:rPr>
        <w:t>Fallback first.</w:t>
      </w:r>
      <w:r>
        <w:rPr/>
        <w:t xml:space="preserve"> The manual or predecessor process has handled at least one full day’s real caseload, or a realistic rehearsal of one, within the month before switch-off, and the staffing for it is named.</w:t>
      </w:r>
    </w:p>
    <w:p>
      <w:pPr>
        <w:pStyle w:val="ListParagraph"/>
        <w:numPr>
          <w:ilvl w:val="0"/>
          <w:numId w:val="42"/>
        </w:numPr>
        <w:rPr/>
      </w:pPr>
      <w:r>
        <w:rPr>
          <w:b/>
          <w:bCs/>
        </w:rPr>
        <w:t>People informed:</w:t>
      </w:r>
      <w:r>
        <w:rPr/>
        <w:t xml:space="preserve"> users and operators, with dates; affected persons where the change alters how decisions about them are made (the 6.5 notice channel carries it).</w:t>
      </w:r>
    </w:p>
    <w:p>
      <w:pPr>
        <w:pStyle w:val="ListParagraph"/>
        <w:numPr>
          <w:ilvl w:val="0"/>
          <w:numId w:val="43"/>
        </w:numPr>
        <w:rPr/>
      </w:pPr>
      <w:r>
        <w:rPr>
          <w:b/>
          <w:bCs/>
        </w:rPr>
        <w:t>Data back:</w:t>
      </w:r>
      <w:r>
        <w:rPr/>
        <w:t xml:space="preserve"> the full export under Clause 12 (data, configurations, audit logs) received and verified readable on your side.</w:t>
      </w:r>
    </w:p>
    <w:p>
      <w:pPr>
        <w:pStyle w:val="ListParagraph"/>
        <w:numPr>
          <w:ilvl w:val="0"/>
          <w:numId w:val="44"/>
        </w:numPr>
        <w:rPr/>
      </w:pPr>
      <w:r>
        <w:rPr>
          <w:b/>
          <w:bCs/>
        </w:rPr>
        <w:t>Decisions preserved:</w:t>
      </w:r>
      <w:r>
        <w:rPr/>
        <w:t xml:space="preserve"> the record of what the system decided, and the logs behind it, are retained under your institution’s retention rules, because appeals, audits, and legal questions outlive the system that caused them. </w:t>
      </w:r>
      <w:r>
        <w:rPr>
          <w:b/>
          <w:bCs/>
        </w:rPr>
        <w:t>Check locally</w:t>
      </w:r>
      <w:r>
        <w:rPr/>
        <w:t xml:space="preserve"> for the governing retention periods.</w:t>
      </w:r>
    </w:p>
    <w:p>
      <w:pPr>
        <w:pStyle w:val="ListParagraph"/>
        <w:numPr>
          <w:ilvl w:val="0"/>
          <w:numId w:val="45"/>
        </w:numPr>
        <w:rPr/>
      </w:pPr>
      <w:r>
        <w:rPr>
          <w:b/>
          <w:bCs/>
        </w:rPr>
        <w:t>Deletion certified:</w:t>
      </w:r>
      <w:r>
        <w:rPr/>
        <w:t xml:space="preserve"> the vendor’s written deletion certificate, covering subcontractors, signed into the file by the Data Steward.</w:t>
      </w:r>
    </w:p>
    <w:p>
      <w:pPr>
        <w:pStyle w:val="ListParagraph"/>
        <w:numPr>
          <w:ilvl w:val="0"/>
          <w:numId w:val="46"/>
        </w:numPr>
        <w:rPr/>
      </w:pPr>
      <w:r>
        <w:rPr>
          <w:b/>
          <w:bCs/>
        </w:rPr>
        <w:t>Access closed:</w:t>
      </w:r>
      <w:r>
        <w:rPr/>
        <w:t xml:space="preserve"> accounts, integrations, and data feeds shut off, on a list, each item initialled.</w:t>
      </w:r>
    </w:p>
    <w:p>
      <w:pPr>
        <w:pStyle w:val="ListParagraph"/>
        <w:numPr>
          <w:ilvl w:val="0"/>
          <w:numId w:val="47"/>
        </w:numPr>
        <w:rPr/>
      </w:pPr>
      <w:r>
        <w:rPr>
          <w:b/>
          <w:bCs/>
        </w:rPr>
        <w:t>Register closed:</w:t>
      </w:r>
      <w:r>
        <w:rPr/>
        <w:t xml:space="preserve"> the system’s entry marked decommissioned, with dates and the reason.</w:t>
      </w:r>
    </w:p>
    <w:p>
      <w:pPr>
        <w:pStyle w:val="ListParagraph"/>
        <w:numPr>
          <w:ilvl w:val="0"/>
          <w:numId w:val="48"/>
        </w:numPr>
        <w:rPr/>
      </w:pPr>
      <w:r>
        <w:rPr>
          <w:b/>
          <w:bCs/>
        </w:rPr>
        <w:t>One page of lessons:</w:t>
      </w:r>
      <w:r>
        <w:rPr/>
        <w:t xml:space="preserve"> what the institution would demand, test, or write into the contract differently next time, filed where the next procurement will find it: with the Module 4 checklist templates.</w:t>
      </w:r>
      <w:bookmarkEnd w:id="12"/>
    </w:p>
    <w:p>
      <w:pPr>
        <w:pStyle w:val="Heading2"/>
        <w:keepNext w:val="true"/>
        <w:rPr/>
      </w:pPr>
      <w:r>
        <w:rPr/>
        <w:t>6.10 Where this module sits in existing standards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481"/>
        <w:gridCol w:w="6816"/>
      </w:tblGrid>
      <w:tr>
        <w:trPr>
          <w:tblHeader w:val="true"/>
          <w:cantSplit w:val="true"/>
        </w:trPr>
        <w:tc>
          <w:tcPr>
            <w:tcW w:w="24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This module</w:t>
            </w:r>
          </w:p>
        </w:tc>
        <w:tc>
          <w:tcPr>
            <w:tcW w:w="681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Where it maps</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Validation and phased rollout (6.2, 6.3)</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EU AI Act’s accuracy and testing expectations for high-risk systems, and the deployer’s duty to use systems per their instructions; the NIST AI RMF Measure function (test and evaluate before and during use).</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and drift (6.4)</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deployer duty to monitor operation; NIST AI RMF Measure and Manage; ISO/IEC 42001’s operation and performance evaluation clauses.</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Appeals (6.5)</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transparency and redress themes of the OECD AI Principles and the UNESCO Recommendation; national rights to human review of automated decisions, where they apply (check locally; the annex collects the references).</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Incidents (6.6)</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serious incident reporting expectations for the AI ecosystem; national breach and incident notification regimes (check locally).</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Update control and revalidation (6.7, 6.8)</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42001’s change management and continual improvement expectations; the AI RMF Manage function.</w:t>
            </w:r>
          </w:p>
        </w:tc>
      </w:tr>
      <w:tr>
        <w:trPr>
          <w:cantSplit w:val="true"/>
        </w:trPr>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Decommissioning (6.9)</w:t>
            </w:r>
          </w:p>
        </w:tc>
        <w:tc>
          <w:tcPr>
            <w:tcW w:w="681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42001’s lifecycle view of the management system; the contract mechanics live in Module 4.</w:t>
            </w:r>
            <w:bookmarkStart w:id="13" w:name="X875068f31dc64b4b70da619b708188c400b728c"/>
            <w:bookmarkEnd w:id="13"/>
          </w:p>
        </w:tc>
      </w:tr>
    </w:tbl>
    <w:p>
      <w:pPr>
        <w:pStyle w:val="Heading2"/>
        <w:pageBreakBefore/>
        <w:rPr/>
      </w:pPr>
      <w:r>
        <w:rPr/>
        <w:t>Artifact 6a: Stage-by-stage lifecycle checklist</w:t>
      </w:r>
    </w:p>
    <w:p>
      <w:pPr>
        <w:pStyle w:val="Boxtext"/>
        <w:rPr/>
      </w:pPr>
      <w:r>
        <w:rPr>
          <w:b/>
          <w:bCs/>
        </w:rPr>
        <w:t>Standalone artifact.</w:t>
      </w:r>
      <w:r>
        <w:rPr/>
        <w:t xml:space="preserve"> Open AI Governance and Deployment Framework, Version 1.0. Licence: CC BY 4.0. One per system; items initialled as completed; gate rows signed per Module 3. Durations are Tier 2 defaults.</w:t>
      </w:r>
    </w:p>
    <w:p>
      <w:pPr>
        <w:pStyle w:val="Normal"/>
        <w:rPr/>
      </w:pPr>
      <w:r>
        <w:rPr>
          <w:b/>
          <w:bCs/>
        </w:rPr>
        <w:t>Stage 1: Validation (2 to 6 weeks)</w:t>
      </w:r>
    </w:p>
    <w:p>
      <w:pPr>
        <w:pStyle w:val="Checklistitem"/>
        <w:rPr/>
      </w:pPr>
      <w:r>
        <w:rPr/>
        <w:t>☐</w:t>
      </w:r>
      <w:r>
        <w:rPr/>
        <w:tab/>
        <w:t>Acceptance criteria fixed in the contract schedule before testing (accuracy, worst subgroup gap, operational limits)</w:t>
      </w:r>
    </w:p>
    <w:p>
      <w:pPr>
        <w:pStyle w:val="Checklistitem"/>
        <w:rPr/>
      </w:pPr>
      <w:r>
        <w:rPr/>
        <w:t>☐</w:t>
      </w:r>
      <w:r>
        <w:rPr/>
        <w:tab/>
        <w:t>Test sample assembled: at least 300 cases, representative, subgroups covered, hard cases included</w:t>
      </w:r>
    </w:p>
    <w:p>
      <w:pPr>
        <w:pStyle w:val="Checklistitem"/>
        <w:rPr/>
      </w:pPr>
      <w:r>
        <w:rPr/>
        <w:t>☐</w:t>
      </w:r>
      <w:r>
        <w:rPr/>
        <w:tab/>
        <w:t>Sample frozen under Data Steward control; excluded in writing from vendor training</w:t>
      </w:r>
    </w:p>
    <w:p>
      <w:pPr>
        <w:pStyle w:val="Checklistitem"/>
        <w:rPr/>
      </w:pPr>
      <w:r>
        <w:rPr/>
        <w:t>☐</w:t>
      </w:r>
      <w:r>
        <w:rPr/>
        <w:tab/>
        <w:t>Run completed in a test configuration; results scored against pre-fixed criteria only</w:t>
      </w:r>
    </w:p>
    <w:p>
      <w:pPr>
        <w:pStyle w:val="Checklistitem"/>
        <w:rPr/>
      </w:pPr>
      <w:r>
        <w:rPr/>
        <w:t>☐</w:t>
      </w:r>
      <w:r>
        <w:rPr/>
        <w:tab/>
        <w:t>Compared against current practice on the same cases</w:t>
      </w:r>
    </w:p>
    <w:p>
      <w:pPr>
        <w:pStyle w:val="Checklistitem"/>
        <w:rPr/>
      </w:pPr>
      <w:r>
        <w:rPr/>
        <w:t>☐</w:t>
      </w:r>
      <w:r>
        <w:rPr/>
        <w:tab/>
        <w:t>Decision recorded: pass / remediate and retest / renegotiate scope / exit</w:t>
      </w:r>
    </w:p>
    <w:p>
      <w:pPr>
        <w:pStyle w:val="Checklistitem"/>
        <w:rPr/>
      </w:pPr>
      <w:r>
        <w:rPr/>
        <w:t>☐</w:t>
      </w:r>
      <w:r>
        <w:rPr/>
        <w:tab/>
      </w:r>
      <w:r>
        <w:rPr>
          <w:b/>
          <w:bCs/>
        </w:rPr>
        <w:t>GATE G2:</w:t>
      </w:r>
      <w:r>
        <w:rPr/>
        <w:t xml:space="preserve"> Data checklist (Module 5) and validation results signed: Data Steward ______ Independent Reviewer ______ Date ______</w:t>
      </w:r>
    </w:p>
    <w:p>
      <w:pPr>
        <w:pStyle w:val="Normal"/>
        <w:rPr/>
      </w:pPr>
      <w:r>
        <w:rPr>
          <w:b/>
          <w:bCs/>
        </w:rPr>
        <w:t>Stage 2: Shadow mode (minimum 4 weeks and 200 outputs; 6 to 8 weeks if low detectability)</w:t>
      </w:r>
    </w:p>
    <w:p>
      <w:pPr>
        <w:pStyle w:val="Checklistitem"/>
        <w:rPr/>
      </w:pPr>
      <w:r>
        <w:rPr/>
        <w:t>☐</w:t>
      </w:r>
      <w:r>
        <w:rPr/>
        <w:tab/>
        <w:t>Outputs recorded, nobody acting on them; comparison method defined first</w:t>
      </w:r>
    </w:p>
    <w:p>
      <w:pPr>
        <w:pStyle w:val="Checklistitem"/>
        <w:rPr/>
      </w:pPr>
      <w:r>
        <w:rPr/>
        <w:t>☐</w:t>
      </w:r>
      <w:r>
        <w:rPr/>
        <w:tab/>
        <w:t>Live alert or exception rate measured against the operational criterion</w:t>
      </w:r>
    </w:p>
    <w:p>
      <w:pPr>
        <w:pStyle w:val="Checklistitem"/>
        <w:rPr/>
      </w:pPr>
      <w:r>
        <w:rPr/>
        <w:t>☐</w:t>
      </w:r>
      <w:r>
        <w:rPr/>
        <w:tab/>
        <w:t>Real minutes-per-case review cost measured; reviewer time budget set (Module 3.4)</w:t>
      </w:r>
    </w:p>
    <w:p>
      <w:pPr>
        <w:pStyle w:val="Checklistitem"/>
        <w:rPr/>
      </w:pPr>
      <w:r>
        <w:rPr/>
        <w:t>☐</w:t>
      </w:r>
      <w:r>
        <w:rPr/>
        <w:tab/>
        <w:t>Monitoring baselines captured for every Artifact 6b metric</w:t>
      </w:r>
    </w:p>
    <w:p>
      <w:pPr>
        <w:pStyle w:val="Normal"/>
        <w:rPr/>
      </w:pPr>
      <w:r>
        <w:rPr>
          <w:b/>
          <w:bCs/>
        </w:rPr>
        <w:t>Stage 3: Pilot (4 to 12 weeks)</w:t>
      </w:r>
    </w:p>
    <w:p>
      <w:pPr>
        <w:pStyle w:val="Checklistitem"/>
        <w:rPr/>
      </w:pPr>
      <w:r>
        <w:rPr/>
        <w:t>☐</w:t>
      </w:r>
      <w:r>
        <w:rPr/>
        <w:tab/>
        <w:t>One-paragraph pilot definition written first: scope, duration, success criteria, stop criteria with numbers</w:t>
      </w:r>
    </w:p>
    <w:p>
      <w:pPr>
        <w:pStyle w:val="Checklistitem"/>
        <w:rPr/>
      </w:pPr>
      <w:r>
        <w:rPr/>
        <w:t>☐</w:t>
      </w:r>
      <w:r>
        <w:rPr/>
        <w:tab/>
        <w:t>Oversight design one-pager in force (Module 3.4); reviewers trained on limitations and validation failures</w:t>
      </w:r>
    </w:p>
    <w:p>
      <w:pPr>
        <w:pStyle w:val="Checklistitem"/>
        <w:rPr/>
      </w:pPr>
      <w:r>
        <w:rPr/>
        <w:t>☐</w:t>
      </w:r>
      <w:r>
        <w:rPr/>
        <w:tab/>
        <w:t>Appeal channel live and notice published (Artifact 6c)</w:t>
      </w:r>
    </w:p>
    <w:p>
      <w:pPr>
        <w:pStyle w:val="Checklistitem"/>
        <w:rPr/>
      </w:pPr>
      <w:r>
        <w:rPr/>
        <w:t>☐</w:t>
      </w:r>
      <w:r>
        <w:rPr/>
        <w:tab/>
        <w:t>Incident plan and monitoring plan (Artifact 6b) in force</w:t>
      </w:r>
    </w:p>
    <w:p>
      <w:pPr>
        <w:pStyle w:val="Checklistitem"/>
        <w:rPr/>
      </w:pPr>
      <w:r>
        <w:rPr/>
        <w:t>☐</w:t>
      </w:r>
      <w:r>
        <w:rPr/>
        <w:tab/>
        <w:t>Pilot decision recorded either way</w:t>
      </w:r>
    </w:p>
    <w:p>
      <w:pPr>
        <w:pStyle w:val="Checklistitem"/>
        <w:rPr/>
      </w:pPr>
      <w:r>
        <w:rPr/>
        <w:t>☐</w:t>
      </w:r>
      <w:r>
        <w:rPr/>
        <w:tab/>
      </w:r>
      <w:r>
        <w:rPr>
          <w:b/>
          <w:bCs/>
        </w:rPr>
        <w:t>GATE G3 (full go-live):</w:t>
      </w:r>
      <w:r>
        <w:rPr/>
        <w:t xml:space="preserve"> System Owner ______ Independent Reviewer ______ Date ______</w:t>
      </w:r>
    </w:p>
    <w:p>
      <w:pPr>
        <w:pStyle w:val="Normal"/>
        <w:rPr/>
      </w:pPr>
      <w:r>
        <w:rPr>
          <w:b/>
          <w:bCs/>
        </w:rPr>
        <w:t>Stage 4: Operation (standing)</w:t>
      </w:r>
    </w:p>
    <w:p>
      <w:pPr>
        <w:pStyle w:val="Checklistitem"/>
        <w:rPr/>
      </w:pPr>
      <w:r>
        <w:rPr/>
        <w:t>☐</w:t>
      </w:r>
      <w:r>
        <w:rPr/>
        <w:tab/>
        <w:t>Monthly monitoring review and summary to System Owner; weekly glance if low detectability</w:t>
      </w:r>
    </w:p>
    <w:p>
      <w:pPr>
        <w:pStyle w:val="Checklistitem"/>
        <w:rPr/>
      </w:pPr>
      <w:r>
        <w:rPr/>
        <w:t>☐</w:t>
      </w:r>
      <w:r>
        <w:rPr/>
        <w:tab/>
        <w:t>Monthly unflagged-case audit (20 cases or 2 percent); quarterly outcome reconciliation</w:t>
      </w:r>
    </w:p>
    <w:p>
      <w:pPr>
        <w:pStyle w:val="Checklistitem"/>
        <w:rPr/>
      </w:pPr>
      <w:r>
        <w:rPr/>
        <w:t>☐</w:t>
      </w:r>
      <w:r>
        <w:rPr/>
        <w:tab/>
        <w:t>Appeals log read monthly beside the metrics</w:t>
      </w:r>
    </w:p>
    <w:p>
      <w:pPr>
        <w:pStyle w:val="Checklistitem"/>
        <w:rPr/>
      </w:pPr>
      <w:r>
        <w:rPr/>
        <w:t>☐</w:t>
      </w:r>
      <w:r>
        <w:rPr/>
        <w:tab/>
        <w:t>Every update notice through the 6.7 routine; change log current; frozen test set or prompt set re-run on model changes</w:t>
      </w:r>
    </w:p>
    <w:p>
      <w:pPr>
        <w:pStyle w:val="Checklistitem"/>
        <w:rPr/>
      </w:pPr>
      <w:r>
        <w:rPr/>
        <w:t>☐</w:t>
      </w:r>
      <w:r>
        <w:rPr/>
        <w:tab/>
      </w:r>
      <w:r>
        <w:rPr>
          <w:b/>
          <w:bCs/>
        </w:rPr>
        <w:t>GATE G4 (every 12 months and on trigger):</w:t>
      </w:r>
      <w:r>
        <w:rPr/>
        <w:t xml:space="preserve"> revalidation passed, roles filled, thresholds reviewed: System Owner ______ Date ______</w:t>
      </w:r>
    </w:p>
    <w:p>
      <w:pPr>
        <w:pStyle w:val="Normal"/>
        <w:rPr/>
      </w:pPr>
      <w:r>
        <w:rPr>
          <w:b/>
          <w:bCs/>
        </w:rPr>
        <w:t>Stage 5: Decommissioning (2 to 8 weeks)</w:t>
      </w:r>
    </w:p>
    <w:p>
      <w:pPr>
        <w:pStyle w:val="Checklistitem"/>
        <w:rPr/>
      </w:pPr>
      <w:r>
        <w:rPr/>
        <w:t>☐</w:t>
      </w:r>
      <w:r>
        <w:rPr/>
        <w:tab/>
        <w:t>Trigger and decision recorded</w:t>
      </w:r>
    </w:p>
    <w:p>
      <w:pPr>
        <w:pStyle w:val="Checklistitem"/>
        <w:rPr/>
      </w:pPr>
      <w:r>
        <w:rPr/>
        <w:t>☐</w:t>
      </w:r>
      <w:r>
        <w:rPr/>
        <w:tab/>
        <w:t>Fallback confirmed working and staffed before switch-off</w:t>
      </w:r>
    </w:p>
    <w:p>
      <w:pPr>
        <w:pStyle w:val="Checklistitem"/>
        <w:rPr/>
      </w:pPr>
      <w:r>
        <w:rPr/>
        <w:t>☐</w:t>
      </w:r>
      <w:r>
        <w:rPr/>
        <w:tab/>
        <w:t>Users, operators, and (where relevant) affected persons informed</w:t>
      </w:r>
    </w:p>
    <w:p>
      <w:pPr>
        <w:pStyle w:val="Checklistitem"/>
        <w:rPr/>
      </w:pPr>
      <w:r>
        <w:rPr/>
        <w:t>☐</w:t>
      </w:r>
      <w:r>
        <w:rPr/>
        <w:tab/>
        <w:t>Export received and verified; decision records retained per local retention rules</w:t>
      </w:r>
    </w:p>
    <w:p>
      <w:pPr>
        <w:pStyle w:val="Checklistitem"/>
        <w:rPr/>
      </w:pPr>
      <w:r>
        <w:rPr/>
        <w:t>☐</w:t>
      </w:r>
      <w:r>
        <w:rPr/>
        <w:tab/>
        <w:t>Vendor deletion certificate on file: Data Steward ______ Date ______</w:t>
      </w:r>
    </w:p>
    <w:p>
      <w:pPr>
        <w:pStyle w:val="Checklistitem"/>
        <w:rPr/>
      </w:pPr>
      <w:r>
        <w:rPr/>
        <w:t>☐</w:t>
      </w:r>
      <w:r>
        <w:rPr/>
        <w:tab/>
        <w:t>Access closed item by item; register entry closed; one page of lessons filed with the procurement templates</w:t>
      </w:r>
    </w:p>
    <w:p>
      <w:pPr>
        <w:pStyle w:val="Heading2"/>
        <w:pageBreakBefore/>
        <w:rPr/>
      </w:pPr>
      <w:bookmarkStart w:id="14" w:name="artifact-6b-monitoring-plan-template"/>
      <w:r>
        <w:rPr/>
        <w:t>Artifact 6b: Monitoring plan template</w:t>
      </w:r>
    </w:p>
    <w:p>
      <w:pPr>
        <w:pStyle w:val="Boxtext"/>
        <w:keepNext w:val="true"/>
        <w:rPr/>
      </w:pPr>
      <w:r>
        <w:rPr>
          <w:b/>
          <w:bCs/>
        </w:rPr>
        <w:t>Standalone artifact.</w:t>
      </w:r>
      <w:r>
        <w:rPr/>
        <w:t xml:space="preserve"> Open AI Governance and Deployment Framework, Version 1.0. Licence: CC BY 4.0. One page per system, completed before go-live; the G3 gate checks it. Baselines come from shadow mode. Every row carries a named person and two thresholds; a row with a title instead of a name, or a threshold left “to be set,” fails the gate. Quantitative rows carry numbers in both threshold columns. Qualitative rows (input data quality, source changes) carry the review action instead: “any occurrence: note and review at month end” in the investigate column, and the named condition that triggers the pause question in the act column.</w:t>
      </w:r>
    </w:p>
    <w:tbl>
      <w:tblPr>
        <w:tblStyle w:val="FrameworkTable"/>
        <w:tblW w:w="9298" w:type="dxa"/>
        <w:jc w:val="left"/>
        <w:tblInd w:w="90" w:type="dxa"/>
        <w:tblLayout w:type="fixed"/>
        <w:tblCellMar>
          <w:top w:w="30" w:type="dxa"/>
          <w:left w:w="85" w:type="dxa"/>
          <w:bottom w:w="30" w:type="dxa"/>
          <w:right w:w="85" w:type="dxa"/>
        </w:tblCellMar>
        <w:tblLook w:val="0020" w:noHBand="0" w:noVBand="0" w:firstColumn="0" w:lastRow="0" w:lastColumn="0" w:firstRow="1"/>
      </w:tblPr>
      <w:tblGrid>
        <w:gridCol w:w="3000"/>
        <w:gridCol w:w="899"/>
        <w:gridCol w:w="1451"/>
        <w:gridCol w:w="1049"/>
        <w:gridCol w:w="1150"/>
        <w:gridCol w:w="1748"/>
      </w:tblGrid>
      <w:tr>
        <w:trPr>
          <w:tblHeader w:val="true"/>
          <w:cantSplit w:val="true"/>
        </w:trPr>
        <w:tc>
          <w:tcPr>
            <w:tcW w:w="9297" w:type="dxa"/>
            <w:gridSpan w:val="6"/>
            <w:tcBorders/>
            <w:shd w:color="auto" w:fill="DCE4EF" w:val="clear"/>
          </w:tcPr>
          <w:p>
            <w:pPr>
              <w:pStyle w:val="Tableheader"/>
              <w:spacing w:before="0" w:after="0"/>
              <w:jc w:val="left"/>
              <w:rPr>
                <w:rFonts w:ascii="Calibri" w:hAnsi="Calibri" w:eastAsia="Calibri" w:cs="Calibri"/>
                <w:kern w:val="0"/>
                <w:lang w:val="en-GB" w:eastAsia="en-GB" w:bidi="ar-SA"/>
              </w:rPr>
            </w:pPr>
            <w:r>
              <w:rPr>
                <w:rFonts w:eastAsia="Calibri" w:cs="Calibri"/>
                <w:kern w:val="0"/>
                <w:lang w:val="en-GB" w:eastAsia="en-GB" w:bidi="ar-SA"/>
              </w:rPr>
              <w:t>System: ______ Tier: ______ Baselines from shadow period: ______ to ______</w:t>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Metric</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Baseline</w:t>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Cadence</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Who looks (name)</w:t>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Investigate at</w:t>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Act at (pause question same day)</w:t>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Volume per week, by site or channel</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Weekly/Monthly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Output distribution (rate per outcome class or score band)</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Override and exception rate (Module 3.5; defaults: investigate below 1 percent or above 30 percent)</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Unflagged-case audit findings (sample: 20 or 2 percent monthly)</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 outcome reconciliation (silent failures found)</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Subgroup performance, or stratified audit where outcomes lag</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Appeals: count, upheld count, themes (three upheld in a quarter = incident question, automatic)</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Input data quality (missing fields, malformed records, source changes)</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bookmarkStart w:id="15" w:name="artifact-6b-monitoring-plan-template"/>
      <w:r>
        <w:rPr/>
        <w:t>Summary to System Owner: monthly, one page. Plan reviewed at every G4 and after every accepted major update. Prepared by ______ (Operational Lead) Date ______</w:t>
      </w:r>
      <w:bookmarkEnd w:id="15"/>
    </w:p>
    <w:p>
      <w:pPr>
        <w:pStyle w:val="Heading2"/>
        <w:pageBreakBefore/>
        <w:rPr/>
      </w:pPr>
      <w:bookmarkStart w:id="16" w:name="artifact-6c-appeal-notice-template"/>
      <w:r>
        <w:rPr/>
        <w:t>Artifact 6c: Appeal notice template</w:t>
      </w:r>
    </w:p>
    <w:p>
      <w:pPr>
        <w:pStyle w:val="Boxtext"/>
        <w:rPr/>
      </w:pPr>
      <w:r>
        <w:rPr>
          <w:b/>
          <w:bCs/>
        </w:rPr>
        <w:t>Standalone artifact.</w:t>
      </w:r>
      <w:r>
        <w:rPr/>
        <w:t xml:space="preserve"> Open AI Governance and Deployment Framework, Version 1.0. Licence: CC BY 4.0. Plain-language text for letters, portals, and counters, wherever a person meets a decision the system informed. Adapt the bracketed items; keep the reading level; translate into every language your institution serves people in. Check locally: where your law requires telling people an automated system was involved, or grants a right to human review, your notice must say so; this template is the floor. Conversational systems: replace the reference number with the session identifier, surface the challenge route inside the interface on every session, and publish this notice text where the chat is offered.</w:t>
      </w:r>
    </w:p>
    <w:p>
      <w:pPr>
        <w:pStyle w:val="Boxtext"/>
        <w:rPr/>
      </w:pPr>
      <w:r>
        <w:rPr>
          <w:b/>
          <w:bCs/>
        </w:rPr>
        <w:t>If you think this decision is wrong, you can ask us to look at it again.</w:t>
      </w:r>
    </w:p>
    <w:p>
      <w:pPr>
        <w:pStyle w:val="Boxtext"/>
        <w:rPr/>
      </w:pPr>
      <w:r>
        <w:rPr/>
        <w:t>A computer system helped us assess your case. A person is responsible for the decision, and a different person will review it if you ask.</w:t>
      </w:r>
    </w:p>
    <w:p>
      <w:pPr>
        <w:pStyle w:val="Boxtext"/>
        <w:rPr/>
      </w:pPr>
      <w:r>
        <w:rPr>
          <w:b/>
          <w:bCs/>
        </w:rPr>
        <w:t>How to ask:</w:t>
      </w:r>
      <w:r>
        <w:rPr/>
        <w:t xml:space="preserve"> [channel: form, address, phone, counter], quoting reference [x]. You do not need to give a reason, though anything you tell us helps.</w:t>
      </w:r>
    </w:p>
    <w:p>
      <w:pPr>
        <w:pStyle w:val="Boxtext"/>
        <w:rPr/>
      </w:pPr>
      <w:r>
        <w:rPr>
          <w:b/>
          <w:bCs/>
        </w:rPr>
        <w:t>What happens next:</w:t>
      </w:r>
      <w:r>
        <w:rPr/>
        <w:t xml:space="preserve"> we will confirm we received your request within [5] working days, and give you our answer, with reasons, within [20] working days.</w:t>
      </w:r>
    </w:p>
    <w:p>
      <w:pPr>
        <w:pStyle w:val="Boxtext"/>
        <w:rPr/>
      </w:pPr>
      <w:bookmarkStart w:id="17" w:name="artifact-6c-appeal-notice-template"/>
      <w:r>
        <w:rPr/>
        <w:t>Asking for a review will not be held against you and will not delay anything you are currently receiving. [Delete or adapt where a decision has suspensive effects; state them plainly.]</w:t>
      </w:r>
      <w:bookmarkEnd w:id="17"/>
    </w:p>
    <w:p>
      <w:pPr>
        <w:pStyle w:val="Heading2"/>
        <w:rPr/>
      </w:pPr>
      <w:bookmarkStart w:id="18" w:name="references-for-this-module"/>
      <w:r>
        <w:rPr/>
        <w:t>References for this module</w:t>
      </w:r>
    </w:p>
    <w:p>
      <w:pPr>
        <w:pStyle w:val="ListParagraph"/>
        <w:numPr>
          <w:ilvl w:val="0"/>
          <w:numId w:val="49"/>
        </w:numPr>
        <w:rPr/>
      </w:pPr>
      <w:r>
        <w:rPr/>
        <w:t>Wong, A., et al. “External Validation of a Widely Implemented Proprietary Sepsis Prediction Model in Hospitalized Patients.” JAMA Internal Medicine, volume 181, issue 8 (2021), pages 1065 to 1070. (Full citation and the accompanying editorial in Module 4’s references.)</w:t>
      </w:r>
    </w:p>
    <w:p>
      <w:pPr>
        <w:pStyle w:val="ListParagraph"/>
        <w:numPr>
          <w:ilvl w:val="0"/>
          <w:numId w:val="50"/>
        </w:numPr>
        <w:rPr/>
      </w:pPr>
      <w:r>
        <w:rPr/>
        <w:t>Ross, C. “Epic overhauls popular sepsis algorithm criticized for faulty alarms.” STAT News, 3 October 2022. (Reports, from the developer’s documents, the recommendation that the model be trained on a hospital’s own data before clinical use, a changed definition of sepsis onset, and reduced reliance on antibiotic orders as a flag.)</w:t>
      </w:r>
    </w:p>
    <w:p>
      <w:pPr>
        <w:pStyle w:val="ListParagraph"/>
        <w:numPr>
          <w:ilvl w:val="0"/>
          <w:numId w:val="51"/>
        </w:numPr>
        <w:spacing w:before="0" w:after="60"/>
        <w:rPr/>
      </w:pPr>
      <w:bookmarkStart w:id="19" w:name="module-6-the-deployment-lifecycle"/>
      <w:bookmarkStart w:id="20" w:name="references-for-this-module"/>
      <w:r>
        <w:rPr/>
        <w:t>Wong, A., Currey, D., Schwinne, M., Park-Egan, B., Meyer, S., Gutting, A., Cao, J., Khan, S., Dantes, R., Pan, T., Buchman, T., Singh, K., Bhavani, S. V., Lyons, P. G., Sjoding, M. W., and Tarabichi, Y. “Multicenter Prospective Validation of an Updated Proprietary Sepsis Prediction Model.” JAMA Network Open, volume 9, issue 2 (2026), article e260181. doi:10.1001/jamanetworkopen.2026.0181. (States that the revised model was released in 2022 and was fine-tuned on a site-specific historical training set at all study sites before implementation.)</w:t>
      </w:r>
      <w:bookmarkEnd w:id="19"/>
      <w:bookmarkEnd w:id="20"/>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304" w:right="1304" w:gutter="0" w:header="709" w:top="1418" w:footer="709"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10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10</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
  </w:num>
  <w:num w:numId="14">
    <w:abstractNumId w:val="1"/>
  </w:num>
  <w:num w:numId="15">
    <w:abstractNumId w:val="1"/>
  </w:num>
  <w:num w:numId="16">
    <w:abstractNumId w:val="1"/>
  </w:num>
  <w:num w:numId="17">
    <w:abstractNumId w:val="1"/>
  </w:num>
  <w:num w:numId="18">
    <w:abstractNumId w:val="1"/>
  </w:num>
  <w:num w:numId="19">
    <w:abstractNumId w:val="4"/>
    <w:lvlOverride w:ilvl="0">
      <w:startOverride w:val="1"/>
    </w:lvlOverride>
  </w:num>
  <w:num w:numId="20">
    <w:abstractNumId w:val="1"/>
  </w:num>
  <w:num w:numId="21">
    <w:abstractNumId w:val="1"/>
  </w:num>
  <w:num w:numId="22">
    <w:abstractNumId w:val="1"/>
  </w:num>
  <w:num w:numId="23">
    <w:abstractNumId w:val="4"/>
    <w:lvlOverride w:ilvl="0">
      <w:startOverride w:val="1"/>
    </w:lvlOverride>
  </w:num>
  <w:num w:numId="24">
    <w:abstractNumId w:val="4"/>
  </w:num>
  <w:num w:numId="25">
    <w:abstractNumId w:val="4"/>
  </w:num>
  <w:num w:numId="26">
    <w:abstractNumId w:val="4"/>
  </w:num>
  <w:num w:numId="27">
    <w:abstractNumId w:val="4"/>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4"/>
    <w:lvlOverride w:ilvl="0">
      <w:startOverride w:val="1"/>
    </w:lvlOverride>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1"/>
  </w:num>
  <w:num w:numId="50">
    <w:abstractNumId w:val="1"/>
  </w:num>
  <w:num w:numId="51">
    <w:abstractNumId w:val="1"/>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paragraph" w:styleId="Heading2">
    <w:name w:val="Heading 2"/>
    <w:basedOn w:val="Normal"/>
    <w:next w:val="Normal"/>
    <w:uiPriority w:val="9"/>
    <w:qFormat/>
    <w:pPr>
      <w:keepNext w:val="true"/>
      <w:keepLines/>
      <w:spacing w:lineRule="auto" w:line="240" w:before="360" w:after="120"/>
      <w:outlineLvl w:val="1"/>
    </w:pPr>
    <w:rPr>
      <w:b/>
      <w:bCs/>
      <w:color w:val="1F3864"/>
      <w:sz w:val="28"/>
      <w:szCs w:val="28"/>
    </w:rPr>
  </w:style>
  <w:style w:type="character" w:styleId="DefaultParagraphFont" w:default="1">
    <w:name w:val="Default Paragraph Font"/>
    <w:uiPriority w:val="1"/>
    <w:semiHidden/>
    <w:unhideWhenUsed/>
    <w:qFormat/>
    <w:rPr/>
  </w:style>
  <w:style w:type="paragraph" w:styleId="ListParagraph">
    <w:name w:val="List Paragraph"/>
    <w:basedOn w:val="Normal"/>
    <w:uiPriority w:val="34"/>
    <w:qFormat/>
    <w:pPr>
      <w:spacing w:before="0" w:after="60"/>
      <w:ind w:left="720"/>
    </w:pPr>
    <w:rPr/>
  </w:style>
  <w:style w:type="paragraph" w:styleId="Checklistitem" w:customStyle="1">
    <w:name w:val="Checklist item"/>
    <w:basedOn w:val="Normal"/>
    <w:qFormat/>
    <w:pPr>
      <w:tabs>
        <w:tab w:val="clear" w:pos="720"/>
        <w:tab w:val="left" w:pos="340" w:leader="none"/>
      </w:tabs>
      <w:spacing w:lineRule="exact" w:line="264" w:before="0" w:after="60"/>
      <w:ind w:hanging="340" w:left="340"/>
    </w:pPr>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10</Pages>
  <Words>5055</Words>
  <Characters>26297</Characters>
  <CharactersWithSpaces>31056</CharactersWithSpaces>
  <Paragraphs>248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2026-09-29T14:49:28Z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2026-09-29T14:49:28Z</dcterms:modified>
  <cp:revision>1</cp:revision>
  <dc:subject>An operating manual for institutions that buy, deploy, and run AI systems</dc:subject>
  <dc:title>Open AI Governance and Deployment Framework, Version 1.0. Module 6: The deployment lifecycle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