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/>
      </w:pPr>
      <w:bookmarkStart w:id="0" w:name="incident-response-template"/>
      <w:r>
        <w:rPr/>
        <w:t>7.10 Incident response template</w:t>
      </w:r>
    </w:p>
    <w:p>
      <w:pPr>
        <w:pStyle w:val="Boxtext"/>
        <w:rPr/>
      </w:pPr>
      <w:r>
        <w:rPr>
          <w:b/>
          <w:bCs/>
        </w:rPr>
        <w:t>Standalone artifact.</w:t>
      </w:r>
      <w:r>
        <w:rPr/>
        <w:t xml:space="preserve"> Open AI Governance and Deployment Framework, Version 1.0. Toolkit edition. Licence: CC BY 4.0. Open one per incident, the moment the incident question is asked; a record opened and closed as “no incident” costs a page and is filed with the monitoring notes. Clocks and definitions are Module 6.6’s. It is an operating tool and it is not legal advice; external notification duties are governed by your local law, named on your Module 5 checklist.</w:t>
      </w:r>
    </w:p>
    <w:p>
      <w:pPr>
        <w:pStyle w:val="Normal"/>
        <w:keepNext w:val="true"/>
        <w:rPr/>
      </w:pPr>
      <w:r>
        <w:rPr>
          <w:b/>
          <w:bCs/>
        </w:rPr>
        <w:t>Incident record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00" w:noHBand="0" w:noVBand="0" w:firstColumn="0" w:lastRow="0" w:lastColumn="0" w:firstRow="0"/>
      </w:tblPr>
      <w:tblGrid>
        <w:gridCol w:w="5781"/>
        <w:gridCol w:w="3856"/>
      </w:tblGrid>
      <w:tr>
        <w:trPr>
          <w:cantSplit w:val="true"/>
        </w:trPr>
        <w:tc>
          <w:tcPr>
            <w:tcW w:w="578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Incident id and system</w:t>
            </w:r>
          </w:p>
        </w:tc>
        <w:tc>
          <w:tcPr>
            <w:tcW w:w="3856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78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Opened by (name), date, time</w:t>
            </w:r>
          </w:p>
        </w:tc>
        <w:tc>
          <w:tcPr>
            <w:tcW w:w="3856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78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Type (Module 6.6 closed list): ☐ 1 wrong or harmful output reached a person (including via oversight bypass) ☐ 2 systematic error discovered ☐ 3 security event ☐ 4 vendor notification ☐ 5 unnotified model or behaviour change</w:t>
            </w:r>
          </w:p>
        </w:tc>
        <w:tc>
          <w:tcPr>
            <w:tcW w:w="3856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78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Severity: ☐ 1 wrong or harmful outputs are reaching people now ☐ 2 unavailable or unreliable but contained ☐ 3 degraded, suspected, or near-miss</w:t>
            </w:r>
          </w:p>
        </w:tc>
        <w:tc>
          <w:tcPr>
            <w:tcW w:w="3856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</w:tbl>
    <w:p>
      <w:pPr>
        <w:pStyle w:val="Normal"/>
        <w:keepNext w:val="true"/>
        <w:spacing w:before="160" w:after="100"/>
        <w:rPr/>
      </w:pPr>
      <w:r>
        <w:rPr>
          <w:b/>
          <w:bCs/>
        </w:rPr>
        <w:t>Contain</w:t>
      </w:r>
      <w:r>
        <w:rPr/>
        <w:t xml:space="preserve"> (immediately / same day / next review, by severity)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20" w:noHBand="0" w:noVBand="0" w:firstColumn="0" w:lastRow="0" w:lastColumn="0" w:firstRow="1"/>
      </w:tblPr>
      <w:tblGrid>
        <w:gridCol w:w="3212"/>
        <w:gridCol w:w="3211"/>
        <w:gridCol w:w="3215"/>
      </w:tblGrid>
      <w:tr>
        <w:trPr>
          <w:tblHeader w:val="true"/>
          <w:cantSplit w:val="true"/>
        </w:trPr>
        <w:tc>
          <w:tcPr>
            <w:tcW w:w="3212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Action taken (pause, channel stopped, single output held)</w:t>
            </w:r>
          </w:p>
        </w:tc>
        <w:tc>
          <w:tcPr>
            <w:tcW w:w="3211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By</w:t>
            </w:r>
          </w:p>
        </w:tc>
        <w:tc>
          <w:tcPr>
            <w:tcW w:w="3215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Date, time</w:t>
            </w:r>
          </w:p>
        </w:tc>
      </w:tr>
      <w:tr>
        <w:trPr>
          <w:cantSplit w:val="true"/>
        </w:trPr>
        <w:tc>
          <w:tcPr>
            <w:tcW w:w="321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321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3215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</w:tbl>
    <w:p>
      <w:pPr>
        <w:pStyle w:val="Normal"/>
        <w:spacing w:before="160" w:after="100"/>
        <w:rPr/>
      </w:pPr>
      <w:r>
        <w:rPr>
          <w:b/>
          <w:bCs/>
        </w:rPr>
        <w:t>Declare and inform:</w:t>
      </w:r>
      <w:r>
        <w:rPr/>
        <w:t xml:space="preserve"> Operational Lead declared ______ System Owner informed ______ (within 4 working hours / 24 hours / 5 working days)</w:t>
      </w:r>
    </w:p>
    <w:p>
      <w:pPr>
        <w:pStyle w:val="Normal"/>
        <w:rPr/>
      </w:pPr>
      <w:r>
        <w:rPr>
          <w:b/>
          <w:bCs/>
        </w:rPr>
        <w:t>Assess</w:t>
      </w:r>
      <w:r>
        <w:rPr/>
        <w:t xml:space="preserve"> (first written assessment within 5 working days): What happened, since when, evidenced by which logs: ______ Who was affected, how many: ______ Root cause, if known: ______</w:t>
      </w:r>
    </w:p>
    <w:p>
      <w:pPr>
        <w:pStyle w:val="Normal"/>
        <w:keepNext w:val="true"/>
        <w:rPr/>
      </w:pPr>
      <w:r>
        <w:rPr>
          <w:b/>
          <w:bCs/>
        </w:rPr>
        <w:t>Notify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20" w:noHBand="0" w:noVBand="0" w:firstColumn="0" w:lastRow="0" w:lastColumn="0" w:firstRow="1"/>
      </w:tblPr>
      <w:tblGrid>
        <w:gridCol w:w="3704"/>
        <w:gridCol w:w="2077"/>
        <w:gridCol w:w="1928"/>
        <w:gridCol w:w="1928"/>
      </w:tblGrid>
      <w:tr>
        <w:trPr>
          <w:tblHeader w:val="true"/>
          <w:cantSplit w:val="true"/>
        </w:trPr>
        <w:tc>
          <w:tcPr>
            <w:tcW w:w="3704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Who</w:t>
            </w:r>
          </w:p>
        </w:tc>
        <w:tc>
          <w:tcPr>
            <w:tcW w:w="2077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Required by (law or contract clause; see Module 5 checklist)</w:t>
            </w:r>
          </w:p>
        </w:tc>
        <w:tc>
          <w:tcPr>
            <w:tcW w:w="1928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Deadline</w:t>
            </w:r>
          </w:p>
        </w:tc>
        <w:tc>
          <w:tcPr>
            <w:tcW w:w="1928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Done, date</w:t>
            </w:r>
          </w:p>
        </w:tc>
      </w:tr>
      <w:tr>
        <w:trPr>
          <w:cantSplit w:val="true"/>
        </w:trPr>
        <w:tc>
          <w:tcPr>
            <w:tcW w:w="370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Internal (leadership per severity)</w:t>
            </w:r>
          </w:p>
        </w:tc>
        <w:tc>
          <w:tcPr>
            <w:tcW w:w="207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370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Affected persons</w:t>
            </w:r>
          </w:p>
        </w:tc>
        <w:tc>
          <w:tcPr>
            <w:tcW w:w="207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370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Regulator(s)</w:t>
            </w:r>
          </w:p>
        </w:tc>
        <w:tc>
          <w:tcPr>
            <w:tcW w:w="207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370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Vendor (or from vendor, Clause 8 or 9)</w:t>
            </w:r>
          </w:p>
        </w:tc>
        <w:tc>
          <w:tcPr>
            <w:tcW w:w="207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</w:tbl>
    <w:p>
      <w:pPr>
        <w:pStyle w:val="Normal"/>
        <w:spacing w:before="160" w:after="100"/>
        <w:rPr/>
      </w:pPr>
      <w:r>
        <w:rPr>
          <w:b/>
          <w:bCs/>
        </w:rPr>
        <w:t>Remediate</w:t>
      </w:r>
      <w:r>
        <w:rPr/>
        <w:t xml:space="preserve"> (plan within 10 working days): Fix or restriction: ______ Decisions about people corrected, using the appeal machinery proactively (Module 6.6): ______</w:t>
      </w:r>
    </w:p>
    <w:p>
      <w:pPr>
        <w:pStyle w:val="Normal"/>
        <w:rPr/>
      </w:pPr>
      <w:r>
        <w:rPr>
          <w:b/>
          <w:bCs/>
        </w:rPr>
        <w:t>Restart</w:t>
      </w:r>
      <w:r>
        <w:rPr/>
        <w:t xml:space="preserve"> (paused Tier 2 systems): frozen test set or relevant validation slice re-run and passed ☐ attached. System Owner signature ______ Date ______</w:t>
      </w:r>
    </w:p>
    <w:p>
      <w:pPr>
        <w:pStyle w:val="Normal"/>
        <w:rPr/>
      </w:pPr>
      <w:r>
        <w:rPr>
          <w:b/>
          <w:bCs/>
        </w:rPr>
        <w:t>Close and learn:</w:t>
      </w:r>
      <w:r>
        <w:rPr/>
        <w:t xml:space="preserve"> cause, effect, and changes in three sentences: ______ New failure mode fed to reviewer training and the monitoring plan ☐ Register updated ☐ Closed by ______ Date ______</w:t>
      </w:r>
    </w:p>
    <w:p>
      <w:pPr>
        <w:pStyle w:val="Normal"/>
        <w:widowControl/>
        <w:bidi w:val="0"/>
        <w:spacing w:lineRule="auto" w:line="259" w:before="0" w:after="100"/>
        <w:jc w:val="left"/>
        <w:rPr/>
      </w:pPr>
      <w:r>
        <w:rPr>
          <w:b/>
          <w:bCs/>
        </w:rPr>
        <w:t>Document control.</w:t>
      </w:r>
      <w:r>
        <w:rPr/>
        <w:t xml:space="preserve"> Document version: ____________ Prepared by: ____________ Last updated: ____________ Next review: ____________</w:t>
      </w:r>
      <w:bookmarkEnd w:id="0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567" w:top="1134" w:footer="567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Open AI Governance and Deployment Framework, Version 1.0, 1 October 2026. Licence: CC BY 4.0.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Open AI Governance and Deployment Framework, Version 1.0, 1 October 2026. Licence: CC BY 4.0.</w:t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en-GB" w:eastAsia="en-GB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00"/>
      <w:jc w:val="left"/>
    </w:pPr>
    <w:rPr>
      <w:rFonts w:ascii="Calibri" w:hAnsi="Calibri" w:eastAsia="Calibri" w:cs="Calibri"/>
      <w:color w:val="1A1A1A"/>
      <w:kern w:val="0"/>
      <w:sz w:val="20"/>
      <w:szCs w:val="20"/>
      <w:lang w:val="en-GB" w:eastAsia="en-GB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240" w:before="0" w:after="280"/>
      <w:outlineLvl w:val="0"/>
    </w:pPr>
    <w:rPr>
      <w:b/>
      <w:bCs/>
      <w:color w:val="1F3864"/>
      <w:sz w:val="40"/>
      <w:szCs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Boxtext" w:customStyle="1">
    <w:name w:val="Box text"/>
    <w:basedOn w:val="Normal"/>
    <w:qFormat/>
    <w:pPr>
      <w:pBdr>
        <w:left w:val="single" w:sz="18" w:space="8" w:color="1F3864"/>
      </w:pBdr>
      <w:shd w:val="clear" w:color="auto" w:fill="EEF2F7"/>
      <w:spacing w:before="60" w:after="60"/>
      <w:ind w:left="227" w:right="113"/>
    </w:pPr>
    <w:rPr/>
  </w:style>
  <w:style w:type="paragraph" w:styleId="Tabletext" w:customStyle="1">
    <w:name w:val="Table text"/>
    <w:basedOn w:val="Normal"/>
    <w:qFormat/>
    <w:pPr>
      <w:spacing w:lineRule="auto" w:line="240" w:before="20" w:after="20"/>
    </w:pPr>
    <w:rPr>
      <w:sz w:val="18"/>
      <w:szCs w:val="18"/>
    </w:rPr>
  </w:style>
  <w:style w:type="paragraph" w:styleId="Tableheader" w:customStyle="1">
    <w:name w:val="Table header"/>
    <w:basedOn w:val="Normal"/>
    <w:qFormat/>
    <w:pPr>
      <w:keepNext w:val="true"/>
      <w:spacing w:lineRule="auto" w:line="240" w:before="20" w:after="20"/>
    </w:pPr>
    <w:rPr>
      <w:b/>
      <w:bCs/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tabs>
        <w:tab w:val="clear" w:pos="720"/>
        <w:tab w:val="right" w:pos="9298" w:leader="none"/>
      </w:tabs>
      <w:spacing w:lineRule="auto" w:line="240" w:before="0" w:after="0"/>
    </w:pPr>
    <w:rPr>
      <w:color w:val="595959"/>
      <w:sz w:val="16"/>
      <w:szCs w:val="16"/>
    </w:rPr>
  </w:style>
  <w:style w:type="paragraph" w:styleId="Footer">
    <w:name w:val="Footer"/>
    <w:basedOn w:val="Normal"/>
    <w:uiPriority w:val="99"/>
    <w:unhideWhenUsed/>
    <w:qFormat/>
    <w:pPr>
      <w:spacing w:lineRule="auto" w:line="240" w:before="0" w:after="0"/>
      <w:jc w:val="center"/>
    </w:pPr>
    <w:rPr>
      <w:color w:val="595959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FrameworkTable">
    <w:name w:val="Framework table"/>
    <w:basedOn w:val="TableNormal"/>
    <w:uiPriority w:val="59"/>
    <w:pPr>
      <w:spacing w:after="0" w:line="240" w:lineRule="auto"/>
    </w:pPr>
    <w:tblPr>
      <w:tblBorders>
        <w:top w:val="single" w:color="A6A6A6" w:sz="4" w:space="0"/>
        <w:left w:val="single" w:color="A6A6A6" w:sz="4" w:space="0"/>
        <w:bottom w:val="single" w:color="A6A6A6" w:sz="4" w:space="0"/>
        <w:right w:val="single" w:color="A6A6A6" w:sz="4" w:space="0"/>
        <w:insideH w:val="single" w:color="A6A6A6" w:sz="4" w:space="0"/>
        <w:insideV w:val="single" w:color="A6A6A6" w:sz="4" w:space="0"/>
      </w:tblBorders>
      <w:tblCellMar>
        <w:top w:w="40" w:type="dxa"/>
        <w:left w:w="85" w:type="dxa"/>
        <w:bottom w:w="40" w:type="dxa"/>
        <w:right w:w="85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361</Words>
  <Characters>1942</Characters>
  <CharactersWithSpaces>2275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2026-09-29T14:49:35Z</dcterms:created>
  <dc:creator>Yellow Sapphire Technologies Inc.</dc:creator>
  <dc:description>Version 1.0, 1 October 2026. Published by Yellow Sapphire Technologies Inc. under CC BY 4.0. doi:10.5281/zenodo.22986774</dc:description>
  <cp:keywords>AI governance, AI deployment, procurement, risk tiering, human oversight, data protection, monitoring</cp:keywords>
  <dc:language>en-GB</dc:language>
  <cp:lastModifiedBy>Yellow Sapphire Technologies Inc.</cp:lastModifiedBy>
  <dcterms:modified xsi:type="dcterms:W3CDTF">2026-09-29T14:49:35Z</dcterms:modified>
  <cp:revision>1</cp:revision>
  <dc:subject>An operating manual for institutions that buy, deploy, and run AI systems</dc:subject>
  <dc:title>Open AI Governance and Deployment Framework, Version 1.0. 7.10 Incident response template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I">
    <vt:lpwstr>10.5281/zenodo.22986774</vt:lpwstr>
  </property>
  <property fmtid="{D5CDD505-2E9C-101B-9397-08002B2CF9AE}" pid="3" name="Language">
    <vt:lpwstr>en-GB</vt:lpwstr>
  </property>
  <property fmtid="{D5CDD505-2E9C-101B-9397-08002B2CF9AE}" pid="4" name="Licence">
    <vt:lpwstr>CC BY 4.0</vt:lpwstr>
  </property>
  <property fmtid="{D5CDD505-2E9C-101B-9397-08002B2CF9AE}" pid="5" name="Publication date">
    <vt:lpwstr>2026-10-01</vt:lpwstr>
  </property>
  <property fmtid="{D5CDD505-2E9C-101B-9397-08002B2CF9AE}" pid="6" name="Publisher">
    <vt:lpwstr>Yellow Sapphire Technologies Inc.</vt:lpwstr>
  </property>
  <property fmtid="{D5CDD505-2E9C-101B-9397-08002B2CF9AE}" pid="7" name="Version">
    <vt:lpwstr>1.0</vt:lpwstr>
  </property>
</Properties>
</file>