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pPr>
      <w:bookmarkStart w:id="0" w:name="module-5-data-security-and-sovereignty"/>
      <w:r>
        <w:rPr/>
        <w:t>Module 5: Data, security, and sovereignty</w:t>
      </w:r>
    </w:p>
    <w:p>
      <w:pPr>
        <w:pStyle w:val="Normal"/>
        <w:rPr/>
      </w:pPr>
      <w:r>
        <w:rPr/>
        <w:t>The moment your institution’s data leaves the building for a vendor’s system, control over it changes hands. This module gives you the questions to settle, and the checklist your Data Steward signs, before that moment.</w:t>
      </w:r>
    </w:p>
    <w:p>
      <w:pPr>
        <w:pStyle w:val="Normal"/>
        <w:rPr/>
      </w:pPr>
      <w:r>
        <w:rPr/>
        <w:t>Work it in order for each new system: draw the control line (5.1), inventory what would leave (5.2), settle where it goes (5.3), set the security requirements (5.4), cut and time-limit what you send (5.5), and check the special category notes if they apply (5.6). The output of all six sections is one signed document: the pre-deployment data checklist (Artifact 5), which blocks the readiness gate (G2, Module 3) until it is complete.</w:t>
      </w:r>
    </w:p>
    <w:p>
      <w:pPr>
        <w:pStyle w:val="Heading2"/>
        <w:rPr/>
      </w:pPr>
      <w:bookmarkStart w:id="1" w:name="what-you-control-and-what-you-hand-over"/>
      <w:r>
        <w:rPr/>
        <w:t>5.1 What you control, and what you hand over</w:t>
      </w:r>
    </w:p>
    <w:p>
      <w:pPr>
        <w:pStyle w:val="Normal"/>
        <w:rPr/>
      </w:pPr>
      <w:r>
        <w:rPr/>
        <w:t>In 2015, a London hospital trust agreed to provide patient records to a technology company for the clinical safety testing of a new application that would alert clinicians to acute kidney injury. Records of around 1.6 million patients were provided. In July 2017, the United Kingdom’s data protection regulator ruled that the trust had failed to comply with data protection law: patients had not been adequately informed, no proper legal basis had been established, the volume of records provided was found excessive against the testing purpose, and no privacy impact assessment had been completed before the data moved. The trust was required to sign an undertaking committing it to change. (Information Commissioner’s Office ruling on the Royal Free NHS Foundation Trust, 3 July 2017; references at the end of this module.)</w:t>
      </w:r>
    </w:p>
    <w:p>
      <w:pPr>
        <w:pStyle w:val="Normal"/>
        <w:keepNext w:val="true"/>
        <w:rPr/>
      </w:pPr>
      <w:r>
        <w:rPr>
          <w:b/>
          <w:bCs/>
        </w:rPr>
        <w:t>The regulator’s findings landed on the hospital.</w:t>
      </w:r>
      <w:r>
        <w:rPr/>
        <w:t xml:space="preserve"> The technology company built the application, but the duty to inform patients, the duty to establish a legal basis, the duty to send no more than necessary, and the duty to assess the risks before transfer all belonged to the institution that held the data and decided to hand it over. Every question in this module exists because you will answer for the data after it leaves, so you must settle its terms before it leaves.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5545"/>
        <w:gridCol w:w="3752"/>
      </w:tblGrid>
      <w:tr>
        <w:trPr>
          <w:tblHeader w:val="true"/>
          <w:cantSplit w:val="true"/>
        </w:trPr>
        <w:tc>
          <w:tcPr>
            <w:tcW w:w="5545"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You control directly</w:t>
            </w:r>
          </w:p>
        </w:tc>
        <w:tc>
          <w:tcPr>
            <w:tcW w:w="3752"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You hand to the vendor</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Which systems get which data, field by field</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Physical storage and its locations</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Who in your institution uses the system, and the acceptable-use note (Module 2)</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Processing, backups, and infrastructure</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contract: every data, security, and deletion commitment (Module 4)</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Which vendor staff and subcontractors touch the data</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Configuration choices the product exposes: retention settings, training opt-outs, logging, region selection</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Day-to-day execution of the promised security controls</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Verification: audits, certificates, log exports (Module 4, Clause 4)</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Incident detection on the vendor’s side, until they notify you</w:t>
            </w:r>
          </w:p>
        </w:tc>
      </w:tr>
      <w:tr>
        <w:trPr>
          <w:cantSplit w:val="true"/>
        </w:trPr>
        <w:tc>
          <w:tcPr>
            <w:tcW w:w="5545"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exit: export, deletion, certification (Module 4, Clause 12)</w:t>
            </w:r>
          </w:p>
        </w:tc>
        <w:tc>
          <w:tcPr>
            <w:tcW w:w="3752"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bookmarkStart w:id="2" w:name="what-you-control-and-what-you-hand-over"/>
      <w:r>
        <w:rPr/>
        <w:t>The right column is governed only by two instruments: the contract that made the promises enforceable (Module 4 wrote it) and the verification that checks the promises are being kept (audit rights, certificates with scope statements, and log exports).</w:t>
      </w:r>
      <w:bookmarkEnd w:id="2"/>
    </w:p>
    <w:p>
      <w:pPr>
        <w:pStyle w:val="Heading2"/>
        <w:rPr/>
      </w:pPr>
      <w:bookmarkStart w:id="3" w:name="inventory-what-would-leave-the-building"/>
      <w:r>
        <w:rPr/>
        <w:t>5.2 Inventory what would leave the building</w:t>
      </w:r>
    </w:p>
    <w:p>
      <w:pPr>
        <w:pStyle w:val="Normal"/>
        <w:rPr/>
      </w:pPr>
      <w:r>
        <w:rPr/>
        <w:t>Before any tender is answered or any pilot begins, the Data Steward writes down, on the checklist at the end of this module, what data the system would receive. Field by field, from the vendor’s own integration documentation (demand it under Module 4.2.1), because “patient records” or “customer data” is a category, and categories hide the fields that later become the problem. At enterprise scale, field by field means field group by field group: inventory by the vendor’s interface specification (the fields the integration sends, which is the inventory, never the whole legacy schema behind it), group fields that share a sensitivity class and purpose, and spend the manual scrutiny on the sensitive and regulated classes.</w:t>
      </w:r>
    </w:p>
    <w:p>
      <w:pPr>
        <w:pStyle w:val="Normal"/>
        <w:rPr/>
      </w:pPr>
      <w:r>
        <w:rPr/>
        <w:t>For each field, three entries:</w:t>
      </w:r>
    </w:p>
    <w:p>
      <w:pPr>
        <w:pStyle w:val="Normal"/>
        <w:rPr/>
      </w:pPr>
      <w:r>
        <w:rPr>
          <w:b/>
          <w:bCs/>
        </w:rPr>
        <w:t>1. Sensitivity class.</w:t>
      </w:r>
      <w:r>
        <w:rPr/>
        <w:t xml:space="preserve"> Use these five, and where your national law defines its own classes, add or substitute them and record which law:</w:t>
      </w:r>
    </w:p>
    <w:p>
      <w:pPr>
        <w:pStyle w:val="ListParagraph"/>
        <w:numPr>
          <w:ilvl w:val="0"/>
          <w:numId w:val="1"/>
        </w:numPr>
        <w:rPr/>
      </w:pPr>
      <w:r>
        <w:rPr>
          <w:b/>
          <w:bCs/>
        </w:rPr>
        <w:t>Public or internal operational data:</w:t>
      </w:r>
      <w:r>
        <w:rPr/>
        <w:t xml:space="preserve"> already published, or operational data with no person in it (equipment readings, aggregate statistics).</w:t>
      </w:r>
    </w:p>
    <w:p>
      <w:pPr>
        <w:pStyle w:val="ListParagraph"/>
        <w:numPr>
          <w:ilvl w:val="0"/>
          <w:numId w:val="1"/>
        </w:numPr>
        <w:rPr/>
      </w:pPr>
      <w:r>
        <w:rPr>
          <w:b/>
          <w:bCs/>
        </w:rPr>
        <w:t>Personal data:</w:t>
      </w:r>
      <w:r>
        <w:rPr/>
        <w:t xml:space="preserve"> anything relating to an identifiable person, including identifiers like account numbers, addresses, and device identifiers. </w:t>
      </w:r>
      <w:r>
        <w:rPr>
          <w:b/>
          <w:bCs/>
        </w:rPr>
        <w:t>Check locally:</w:t>
      </w:r>
      <w:r>
        <w:rPr/>
        <w:t xml:space="preserve"> your data protection law defines this term; use its definition.</w:t>
      </w:r>
    </w:p>
    <w:p>
      <w:pPr>
        <w:pStyle w:val="ListParagraph"/>
        <w:numPr>
          <w:ilvl w:val="0"/>
          <w:numId w:val="1"/>
        </w:numPr>
        <w:rPr/>
      </w:pPr>
      <w:r>
        <w:rPr>
          <w:b/>
          <w:bCs/>
        </w:rPr>
        <w:t>Sensitive personal data:</w:t>
      </w:r>
      <w:r>
        <w:rPr/>
        <w:t xml:space="preserve"> the categories your law gives special protection, commonly health, ethnicity, religion, biometrics, sexual life, and criminal records, and often children’s data. These fields carry the heaviest duties and the sector notes in 5.6.</w:t>
      </w:r>
    </w:p>
    <w:p>
      <w:pPr>
        <w:pStyle w:val="ListParagraph"/>
        <w:numPr>
          <w:ilvl w:val="0"/>
          <w:numId w:val="1"/>
        </w:numPr>
        <w:rPr/>
      </w:pPr>
      <w:r>
        <w:rPr>
          <w:b/>
          <w:bCs/>
        </w:rPr>
        <w:t>Regulated data:</w:t>
      </w:r>
      <w:r>
        <w:rPr/>
        <w:t xml:space="preserve"> data whose handling a sector regulator prescribes (banking secrecy, patient records, tax records, student records). Name the regulator on the checklist.</w:t>
      </w:r>
    </w:p>
    <w:p>
      <w:pPr>
        <w:pStyle w:val="ListParagraph"/>
        <w:numPr>
          <w:ilvl w:val="0"/>
          <w:numId w:val="1"/>
        </w:numPr>
        <w:rPr/>
      </w:pPr>
      <w:r>
        <w:rPr>
          <w:b/>
          <w:bCs/>
        </w:rPr>
        <w:t>Confidential institutional data:</w:t>
      </w:r>
      <w:r>
        <w:rPr/>
        <w:t xml:space="preserve"> unpublished decisions, security arrangements, commercial terms, anything whose disclosure would harm the institution itself.</w:t>
      </w:r>
    </w:p>
    <w:p>
      <w:pPr>
        <w:pStyle w:val="Normal"/>
        <w:rPr/>
      </w:pPr>
      <w:r>
        <w:rPr>
          <w:b/>
          <w:bCs/>
        </w:rPr>
        <w:t>2. The necessity test, asked field by field.</w:t>
      </w:r>
      <w:r>
        <w:rPr/>
        <w:t xml:space="preserve"> </w:t>
      </w:r>
      <w:r>
        <w:rPr>
          <w:i/>
          <w:iCs/>
        </w:rPr>
        <w:t>Does the system need this field to do its job?</w:t>
      </w:r>
      <w:r>
        <w:rPr/>
        <w:t xml:space="preserve"> Put the question to the vendor in writing and keep the answer (a strong vendor has a data specification that answers it already). The regulator’s finding in 5.1 included this failure at the level of whole records: the volume provided was excessive against the purpose.</w:t>
      </w:r>
    </w:p>
    <w:p>
      <w:pPr>
        <w:pStyle w:val="Normal"/>
        <w:rPr/>
      </w:pPr>
      <w:r>
        <w:rPr>
          <w:b/>
          <w:bCs/>
        </w:rPr>
        <w:t>3. The lawful basis entry, as questions for local advice.</w:t>
      </w:r>
      <w:r>
        <w:rPr/>
        <w:t xml:space="preserve"> This framework cannot tell you what makes processing lawful in your country. It can tell you what to write down and take to the person who can: What is our legal basis for using this data for this purpose? Does this purpose differ from the purpose the data was collected for, and does that difference require notice, consent, or something else here? Must the people in the data be informed, and how? Is a formal risk assessment (many laws name one, such as a data protection impact assessment) required before transfer? The 5.1 case is what it looks like when an institution assumes these answers instead of obtaining them: the legal basis it relied on did not hold. For Tier 2 systems and any sensitive personal data, these questions go to qualified local advice before the checklist is signed.</w:t>
      </w:r>
    </w:p>
    <w:p>
      <w:pPr>
        <w:pStyle w:val="Normal"/>
        <w:rPr/>
      </w:pPr>
      <w:r>
        <w:rPr>
          <w:b/>
          <w:bCs/>
        </w:rPr>
        <w:t>Unstructured sources.</w:t>
      </w:r>
      <w:r>
        <w:rPr/>
        <w:t xml:space="preserve"> Generative deployments ingest documents, mailboxes, transcripts, and free-text notes, where sensitive data is buried in prose and a field inventory has nothing to grip. Inventory these by source rather than field: one row per source (the mailbox, the document store, the case file set), recording the sensitivity class of the worst data realistically inside it, the scrubbing or redaction control applied before ingestion and who verified that control on a sample, and the necessity answer for the source as a whole. A source that cannot be scrubbed to match its purpose is minimised the other way: excluded.</w:t>
      </w:r>
      <w:bookmarkEnd w:id="3"/>
    </w:p>
    <w:p>
      <w:pPr>
        <w:pStyle w:val="Heading2"/>
        <w:rPr/>
      </w:pPr>
      <w:bookmarkStart w:id="4" w:name="Xcec523ca89f1a5014b93d6c28e9d7b96ae76424"/>
      <w:r>
        <w:rPr/>
        <w:t>5.3 Settle where the data goes, and whose law follows it</w:t>
      </w:r>
    </w:p>
    <w:p>
      <w:pPr>
        <w:pStyle w:val="Normal"/>
        <w:rPr/>
      </w:pPr>
      <w:r>
        <w:rPr>
          <w:b/>
          <w:bCs/>
        </w:rPr>
        <w:t>Residency</w:t>
      </w:r>
      <w:r>
        <w:rPr/>
        <w:t xml:space="preserve"> means the countries where your data is physically stored, processed, and backed up. It matters for three reasons: your law may restrict where this data may go (many countries restrict cross-border transfer of personal, health, financial, or government data); the vendor’s location decides which foreign laws and authorities can reach your data; and distance weakens every practical remedy you have when something goes wrong.</w:t>
      </w:r>
    </w:p>
    <w:p>
      <w:pPr>
        <w:pStyle w:val="Normal"/>
        <w:rPr/>
      </w:pPr>
      <w:r>
        <w:rPr/>
        <w:t>The questions to settle in writing, all of them demanded at tender time under Module 4.2.5 and locked by Clause 7 of the clause library:</w:t>
      </w:r>
    </w:p>
    <w:p>
      <w:pPr>
        <w:pStyle w:val="ListParagraph"/>
        <w:numPr>
          <w:ilvl w:val="0"/>
          <w:numId w:val="6"/>
        </w:numPr>
        <w:rPr/>
      </w:pPr>
      <w:r>
        <w:rPr/>
        <w:t>In which countries is our data stored, processed, and backed up? (Three separate answers; backups are the one vendors forget to mention.)</w:t>
      </w:r>
    </w:p>
    <w:p>
      <w:pPr>
        <w:pStyle w:val="ListParagraph"/>
        <w:numPr>
          <w:ilvl w:val="0"/>
          <w:numId w:val="2"/>
        </w:numPr>
        <w:rPr/>
      </w:pPr>
      <w:r>
        <w:rPr/>
        <w:t>From which countries can vendor and subcontractor staff access it? Support access is access: an engineer who can view your data to fix a problem is a data location, whatever the storage map says.</w:t>
      </w:r>
    </w:p>
    <w:p>
      <w:pPr>
        <w:pStyle w:val="ListParagraph"/>
        <w:numPr>
          <w:ilvl w:val="0"/>
          <w:numId w:val="2"/>
        </w:numPr>
        <w:rPr/>
      </w:pPr>
      <w:r>
        <w:rPr/>
        <w:t>Which country’s law governs the vendor, and can an authority in that country compel disclosure of our data? You are not expected to answer this yourself; you are expected to put it, in writing, to the vendor and to your local adviser, and to file both answers. Require the vendor’s written attestation of which foreign laws can compel disclosure of your data and how the vendor responds to such demands.</w:t>
      </w:r>
    </w:p>
    <w:p>
      <w:pPr>
        <w:pStyle w:val="ListParagraph"/>
        <w:numPr>
          <w:ilvl w:val="0"/>
          <w:numId w:val="2"/>
        </w:numPr>
        <w:rPr/>
      </w:pPr>
      <w:r>
        <w:rPr/>
        <w:t xml:space="preserve">Does our law, or our regulator, restrict this data leaving the country or the sector? </w:t>
      </w:r>
      <w:r>
        <w:rPr>
          <w:b/>
          <w:bCs/>
        </w:rPr>
        <w:t>Check locally</w:t>
      </w:r>
      <w:r>
        <w:rPr/>
        <w:t>, and name the instrument on the checklist. Where the answer is yes, the conversation changes from “which region” to “which deployment model”: many products offer in-country hosting or on-premises deployment (running on your own infrastructure), and if this vendor does not, that is a finding for the due diligence checklist.</w:t>
      </w:r>
    </w:p>
    <w:p>
      <w:pPr>
        <w:pStyle w:val="ListParagraph"/>
        <w:numPr>
          <w:ilvl w:val="0"/>
          <w:numId w:val="2"/>
        </w:numPr>
        <w:rPr/>
      </w:pPr>
      <w:r>
        <w:rPr/>
        <w:t>If we later need the data moved (a region change, a law change, an exit), what does the contract say it costs and how long it takes? (Clause 12 of the Module 4 library fixes the export days and fee; a migration between vendor regions needs its own line in the contract schedule, so add one.)</w:t>
      </w:r>
    </w:p>
    <w:p>
      <w:pPr>
        <w:pStyle w:val="Normal"/>
        <w:rPr/>
      </w:pPr>
      <w:bookmarkStart w:id="5" w:name="Xcec523ca89f1a5014b93d6c28e9d7b96ae76424"/>
      <w:r>
        <w:rPr/>
        <w:t>One configuration rule that costs nothing: where the product offers a region selection, the Data Steward sets it, documents it, and the setting goes into the contract schedule rather than remaining a dashboard preference an update can silently reset.</w:t>
      </w:r>
      <w:bookmarkEnd w:id="5"/>
    </w:p>
    <w:p>
      <w:pPr>
        <w:pStyle w:val="Heading2"/>
        <w:rPr/>
      </w:pPr>
      <w:bookmarkStart w:id="6" w:name="Xaeb477e53c854d3bc3fc7596cd7280bfaa12cee"/>
      <w:r>
        <w:rPr/>
        <w:t>5.4 Security controls that matter for AI systems specifically</w:t>
      </w:r>
    </w:p>
    <w:p>
      <w:pPr>
        <w:pStyle w:val="Normal"/>
        <w:rPr/>
      </w:pPr>
      <w:r>
        <w:rPr/>
        <w:t>Your institution’s baseline IT security (access management, patching, backups, network controls) is assumed here; ISO/IEC 27001 is the recognised reference for that baseline and Module 4.2.5 already demanded the vendor’s certificates with their scope statements. This section adds the controls that are specific to AI systems, each as a requirement you can write and a verification you can perform.</w:t>
      </w:r>
    </w:p>
    <w:p>
      <w:pPr>
        <w:pStyle w:val="Normal"/>
        <w:rPr/>
      </w:pPr>
      <w:r>
        <w:rPr>
          <w:b/>
          <w:bCs/>
        </w:rPr>
        <w:t>1. Access control on the system, its configuration, and its logs.</w:t>
      </w:r>
      <w:r>
        <w:rPr/>
        <w:t xml:space="preserve"> Require: named-account access only (no shared logins) for anyone who can query the system, change its configuration, or read its logs; access reviewed quarterly by the Operational Lead; administrator actions logged. Verify: ask for the access list at go-live and at each quarterly review; the list should be short and every name explainable. The same discipline covers the system’s secrets: API keys (the credentials software uses to call a service), service accounts, and the prompt or system instructions that configure a generative system’s behaviour are access-controlled, never shared in documents or tickets, and rotated when a holder leaves.</w:t>
      </w:r>
    </w:p>
    <w:p>
      <w:pPr>
        <w:pStyle w:val="Normal"/>
        <w:rPr/>
      </w:pPr>
      <w:r>
        <w:rPr>
          <w:b/>
          <w:bCs/>
        </w:rPr>
        <w:t>2. Input attacks on systems that read text.</w:t>
      </w:r>
      <w:r>
        <w:rPr/>
        <w:t xml:space="preserve"> A </w:t>
      </w:r>
      <w:r>
        <w:rPr>
          <w:b/>
          <w:bCs/>
        </w:rPr>
        <w:t>prompt injection</w:t>
      </w:r>
      <w:r>
        <w:rPr/>
        <w:t>, defined in Module 4.2.8, is an attack where instructions hidden in text the system reads (an email, an uploaded document, a web page) hijack its behaviour. Any generative or text-reading system that touches untrusted content (content from outside the institution, or content a member of the public can influence) is exposed by design. Require: the vendor’s injection testing evidence (Module 4 question 15) and a written statement of the mitigations in the product. Verify: for public-facing deployments, commission an independent security test before go-live; this is the first of the two named places where you hire a specialist, and Module 1.4 already put it on leadership’s cost list.</w:t>
      </w:r>
    </w:p>
    <w:p>
      <w:pPr>
        <w:pStyle w:val="Normal"/>
        <w:rPr/>
      </w:pPr>
      <w:r>
        <w:rPr>
          <w:b/>
          <w:bCs/>
        </w:rPr>
        <w:t>3. Leakage of what the system was fed.</w:t>
      </w:r>
      <w:r>
        <w:rPr/>
        <w:t xml:space="preserve"> Two channels, one question each. Training leakage: can the system reveal, in its outputs, data it was trained or fine-tuned on? If your data is used for training or fine-tuning, your data can surface in outputs, potentially to other users; this is why Module 4’s Clause 6 makes training on your data a separate written decision rather than a default. Session leakage: is one user’s input visible to another user, another department, or another customer of the vendor? Require written answers to both, and for any multi-customer product, the vendor’s written description of how customers are separated. Verify: at validation (Module 6), test with planted, harmless canary records (fabricated entries unique to your institution) and check they cannot be retrieved from another account or session.</w:t>
      </w:r>
    </w:p>
    <w:p>
      <w:pPr>
        <w:pStyle w:val="Normal"/>
        <w:rPr/>
      </w:pPr>
      <w:r>
        <w:rPr>
          <w:b/>
          <w:bCs/>
        </w:rPr>
        <w:t>4. The vendor’s own access, bounded.</w:t>
      </w:r>
      <w:r>
        <w:rPr/>
        <w:t xml:space="preserve"> Require in the contract: vendor staff access to your data only for named support purposes, logged, and reviewable by you under the audit clause; remote support sessions initiated or approved by your side for systems holding sensitive personal data. Verify: request the vendor access log at each annual audit and read it beside the support tickets; access with no matching ticket is a finding.</w:t>
      </w:r>
    </w:p>
    <w:p>
      <w:pPr>
        <w:pStyle w:val="Normal"/>
        <w:rPr/>
      </w:pPr>
      <w:r>
        <w:rPr>
          <w:b/>
          <w:bCs/>
        </w:rPr>
        <w:t>5. Query and output logging as a security instrument.</w:t>
      </w:r>
      <w:r>
        <w:rPr/>
        <w:t xml:space="preserve"> Module 4 demanded audit logs for governance. They are also your intrusion evidence: who queried what, when, in what volume. Require: logs exportable to your side, and a monthly look (Operational Lead) at query volumes by account.</w:t>
      </w:r>
    </w:p>
    <w:p>
      <w:pPr>
        <w:pStyle w:val="Normal"/>
        <w:rPr/>
      </w:pPr>
      <w:r>
        <w:rPr>
          <w:b/>
          <w:bCs/>
        </w:rPr>
        <w:t>6. Manipulation of decision systems.</w:t>
      </w:r>
      <w:r>
        <w:rPr/>
        <w:t xml:space="preserve"> Predictive systems that allocate scrutiny (fraud flags, inspection targeting, queue prioritisation) invite a specific behaviour: the people being scored learn the inputs and shape them. Require from the vendor a written statement of which inputs most influence outputs and what monitoring would reveal gaming of them; feed it into the Module 6 monitoring plan. For systems where successful manipulation could affect safety, security screening, or access to essential services (rather than costing money alone), add independent adversarial testing to the pre-deployment plan: the second of the two named places where a specialist is hired.</w:t>
      </w:r>
      <w:bookmarkEnd w:id="6"/>
    </w:p>
    <w:p>
      <w:pPr>
        <w:pStyle w:val="Heading2"/>
        <w:rPr/>
      </w:pPr>
      <w:bookmarkStart w:id="7" w:name="X1f2887cf44a1bf9c750a4a016e3d67f1b71bf96"/>
      <w:r>
        <w:rPr/>
        <w:t>5.5 Send less, and put an end date on everything</w:t>
      </w:r>
    </w:p>
    <w:p>
      <w:pPr>
        <w:pStyle w:val="Normal"/>
        <w:rPr/>
      </w:pPr>
      <w:r>
        <w:rPr>
          <w:b/>
          <w:bCs/>
        </w:rPr>
        <w:t>Minimisation</w:t>
      </w:r>
      <w:r>
        <w:rPr/>
        <w:t xml:space="preserve"> is a security control: data that never left cannot leak, cannot be subpoenaed abroad, cannot be retained past its welcome, and cannot appear in a regulator’s findings. The 5.2 inventory’s necessity test is the instrument; the rule of use is: send the minimum field set the vendor’s own data specification justifies, and record what was withheld and why on the checklist.</w:t>
      </w:r>
    </w:p>
    <w:p>
      <w:pPr>
        <w:pStyle w:val="Normal"/>
        <w:rPr/>
      </w:pPr>
      <w:r>
        <w:rPr>
          <w:b/>
          <w:bCs/>
        </w:rPr>
        <w:t>Anonymisation.</w:t>
      </w:r>
      <w:r>
        <w:rPr/>
        <w:t xml:space="preserve"> Two words that are treated as interchangeable and are legally and practically different. </w:t>
      </w:r>
      <w:r>
        <w:rPr>
          <w:b/>
          <w:bCs/>
        </w:rPr>
        <w:t>Pseudonymisation</w:t>
      </w:r>
      <w:r>
        <w:rPr/>
        <w:t xml:space="preserve"> replaces direct identifiers (names, account numbers) with codes; the person can be re-identified by whoever holds the key, and most laws treat pseudonymised data as still personal. </w:t>
      </w:r>
      <w:r>
        <w:rPr>
          <w:b/>
          <w:bCs/>
        </w:rPr>
        <w:t>Anonymisation</w:t>
      </w:r>
      <w:r>
        <w:rPr/>
        <w:t xml:space="preserve"> is supposed to make re-identification impossible, and the state of the art is that rich individual-level records (dates, locations, diagnoses, transactions) are very hard to anonymise dependably, because combinations of ordinary attributes single people out. The operating rules that follow: treat “we anonymise your data” in a vendor document as a claim requiring the method in writing, and take that method to your local adviser for any sensitive personal data; prefer aggregation (sending counts and statistics rather than records) where the use case allows it, since well-aggregated data leaves individuals behind; and never let the word “anonymised” relax the residency, contract, or deletion requirements of this module on its own.</w:t>
      </w:r>
    </w:p>
    <w:p>
      <w:pPr>
        <w:pStyle w:val="Normal"/>
        <w:rPr/>
      </w:pPr>
      <w:r>
        <w:rPr>
          <w:b/>
          <w:bCs/>
        </w:rPr>
        <w:t>Derived representations are the data.</w:t>
      </w:r>
      <w:r>
        <w:rPr/>
        <w:t xml:space="preserve"> Embeddings (numerical representations of text or records that retrieval systems search over), vector stores, caches, and a system’s conversation memory are made from your data and can reveal it. For every question in this module (location, access, retention, deletion, training use), treat them as the data they were made from: a deletion certificate that does not cover the vector store has not deleted; a retrieval pipeline that sends passages of your documents to a vendor’s model is a data flow to inventory like any other; and the region setting, the training exclusion, and the exit export all apply to the derived stores by name.</w:t>
      </w:r>
    </w:p>
    <w:p>
      <w:pPr>
        <w:pStyle w:val="Normal"/>
        <w:rPr/>
      </w:pPr>
      <w:r>
        <w:rPr>
          <w:b/>
          <w:bCs/>
        </w:rPr>
        <w:t>Retention.</w:t>
      </w:r>
      <w:r>
        <w:rPr/>
        <w:t xml:space="preserve"> For each data flow on the inventory: how long does the vendor keep it, what happens at the end (deletion or return), and who confirms? The numbers go in the contract schedule, and the deletion certificate at exit is signed into the Data Steward’s role (Module 3). A retention entry reading “for the duration of the service” is an intention; “deleted within 30 days of contract end, certified in writing” is a date, and the checklist accepts only dates. Outputs are data too: where a generated report, letter, or assessment enters a case file, it becomes a record under your retention rules, and the inventory records the flows outward the same as the flows in.</w:t>
      </w:r>
      <w:bookmarkEnd w:id="7"/>
    </w:p>
    <w:p>
      <w:pPr>
        <w:pStyle w:val="Heading2"/>
        <w:rPr/>
      </w:pPr>
      <w:bookmarkStart w:id="8" w:name="special-categories"/>
      <w:r>
        <w:rPr/>
        <w:t>5.6 Special categories</w:t>
      </w:r>
    </w:p>
    <w:p>
      <w:pPr>
        <w:pStyle w:val="Normal"/>
        <w:rPr/>
      </w:pPr>
      <w:r>
        <w:rPr/>
        <w:t>Each note below names the boundary where this framework’s general method stops being sufficient and a specialist or regulator enters. In every case the Module 5 checklist still applies in full; these notes add to it.</w:t>
      </w:r>
    </w:p>
    <w:p>
      <w:pPr>
        <w:pStyle w:val="Normal"/>
        <w:rPr/>
      </w:pPr>
      <w:r>
        <w:rPr>
          <w:b/>
          <w:bCs/>
        </w:rPr>
        <w:t>Health data.</w:t>
      </w:r>
      <w:r>
        <w:rPr/>
        <w:t xml:space="preserve"> Nearly every jurisdiction gives patient data its own regime, and many require specific approvals, impact assessments, or ethics review before it is shared for anything beyond direct care. The 5.1 case sits here: testing and improvement are not direct care, and the distinction is where that institution’s reasoning failed. Boundary: any flow of patient data to a vendor for testing, training, or product improvement goes to your health data regulator’s guidance and to local advice before the checklist is signed.</w:t>
      </w:r>
    </w:p>
    <w:p>
      <w:pPr>
        <w:pStyle w:val="Normal"/>
        <w:rPr/>
      </w:pPr>
      <w:r>
        <w:rPr>
          <w:b/>
          <w:bCs/>
        </w:rPr>
        <w:t>Children’s data.</w:t>
      </w:r>
      <w:r>
        <w:rPr/>
        <w:t xml:space="preserve"> Most laws treat it as requiring special protection, with specific consent and age assurance rules, and several regulate systems directed at children as a category. Boundary: any system whose users or subjects are children (schools above all) gets the lawful basis questions in 5.2 answered by qualified local advice, without exception, and the vendor’s experience with children’s data becomes a due diligence line.</w:t>
      </w:r>
    </w:p>
    <w:p>
      <w:pPr>
        <w:pStyle w:val="Normal"/>
        <w:rPr/>
      </w:pPr>
      <w:r>
        <w:rPr>
          <w:b/>
          <w:bCs/>
        </w:rPr>
        <w:t>Financial data.</w:t>
      </w:r>
      <w:r>
        <w:rPr/>
        <w:t xml:space="preserve"> Banking secrecy, payment card standards, and financial regulators’ outsourcing rules commonly constrain where account and transaction data may go and impose notification or approval duties when critical functions are outsourced. Boundary: if a financial regulator supervises your institution, its outsourcing and cloud guidance governs this module’s questions, and the checklist records the mapping; where the two conflict, the regulator wins.</w:t>
      </w:r>
    </w:p>
    <w:p>
      <w:pPr>
        <w:pStyle w:val="Normal"/>
        <w:rPr/>
      </w:pPr>
      <w:r>
        <w:rPr>
          <w:b/>
          <w:bCs/>
        </w:rPr>
        <w:t>Government administrative data.</w:t>
      </w:r>
      <w:r>
        <w:rPr/>
        <w:t xml:space="preserve"> Tax records, benefits records, civil registries, and case files often carry statutory confidentiality that predates any data protection law, and their movement across borders can raise sovereignty questions no vendor assurance settles. Boundary: for these datasets, the residency questions in 5.3 are answered by your legal framework first and the vendor’s architecture second, and in-country or on-premises deployment is the default position from which departures must be justified in writing.</w:t>
      </w:r>
      <w:bookmarkEnd w:id="8"/>
    </w:p>
    <w:p>
      <w:pPr>
        <w:pStyle w:val="Heading2"/>
        <w:keepNext w:val="true"/>
        <w:rPr/>
      </w:pPr>
      <w:r>
        <w:rPr/>
        <w:t>5.7 Where this module sits in existing standards</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2657"/>
        <w:gridCol w:w="6640"/>
      </w:tblGrid>
      <w:tr>
        <w:trPr>
          <w:tblHeader w:val="true"/>
          <w:cantSplit w:val="true"/>
        </w:trPr>
        <w:tc>
          <w:tcPr>
            <w:tcW w:w="26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This module</w:t>
            </w:r>
          </w:p>
        </w:tc>
        <w:tc>
          <w:tcPr>
            <w:tcW w:w="664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Where it maps</w:t>
            </w:r>
          </w:p>
        </w:tc>
      </w:tr>
      <w:tr>
        <w:trPr>
          <w:cantSplit w:val="true"/>
        </w:trPr>
        <w:tc>
          <w:tcPr>
            <w:tcW w:w="26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inventory, necessity test, and lawful basis questions (5.2)</w:t>
            </w:r>
          </w:p>
        </w:tc>
        <w:tc>
          <w:tcPr>
            <w:tcW w:w="66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protection law’s principles of lawfulness, purpose limitation, and data minimisation, wherever a law of that family applies to you; the EU AI Act’s data governance expectations for high-risk systems; ISO/IEC 42001’s data management and impact assessment expectations.</w:t>
            </w:r>
          </w:p>
        </w:tc>
      </w:tr>
      <w:tr>
        <w:trPr>
          <w:cantSplit w:val="true"/>
        </w:trPr>
        <w:tc>
          <w:tcPr>
            <w:tcW w:w="26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Residency and transfer questions (5.3)</w:t>
            </w:r>
          </w:p>
        </w:tc>
        <w:tc>
          <w:tcPr>
            <w:tcW w:w="66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National transfer restriction regimes (check locally, always); the contract mechanics live in Module 4 Clause 7.</w:t>
            </w:r>
          </w:p>
        </w:tc>
      </w:tr>
      <w:tr>
        <w:trPr>
          <w:cantSplit w:val="true"/>
        </w:trPr>
        <w:tc>
          <w:tcPr>
            <w:tcW w:w="26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AI-specific security controls (5.4)</w:t>
            </w:r>
          </w:p>
        </w:tc>
        <w:tc>
          <w:tcPr>
            <w:tcW w:w="66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The NIST AI RMF Measure and Manage functions applied to security risk; ISO/IEC 27001 as the assumed baseline for general security management, with this section as the AI-specific layer above it.</w:t>
            </w:r>
          </w:p>
        </w:tc>
      </w:tr>
      <w:tr>
        <w:trPr>
          <w:cantSplit w:val="true"/>
        </w:trPr>
        <w:tc>
          <w:tcPr>
            <w:tcW w:w="26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Minimisation, retention, anonymisation (5.5)</w:t>
            </w:r>
          </w:p>
        </w:tc>
        <w:tc>
          <w:tcPr>
            <w:tcW w:w="66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protection minimisation and storage limitation principles; the OECD Principles and UNESCO Recommendation on privacy and safety, made operational as field lists and dates.</w:t>
            </w:r>
          </w:p>
        </w:tc>
      </w:tr>
      <w:tr>
        <w:trPr>
          <w:cantSplit w:val="true"/>
        </w:trPr>
        <w:tc>
          <w:tcPr>
            <w:tcW w:w="26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Special category boundaries (5.6)</w:t>
            </w:r>
          </w:p>
        </w:tc>
        <w:tc>
          <w:tcPr>
            <w:tcW w:w="664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Sector regimes (health, children, financial, government), which prevail over this framework wherever they apply.</w:t>
            </w:r>
            <w:bookmarkStart w:id="9" w:name="X875068f31dc64b4b70da619b708188c400b728c"/>
            <w:bookmarkEnd w:id="9"/>
          </w:p>
        </w:tc>
      </w:tr>
    </w:tbl>
    <w:p>
      <w:pPr>
        <w:pStyle w:val="Heading2"/>
        <w:pageBreakBefore/>
        <w:rPr/>
      </w:pPr>
      <w:r>
        <w:rPr/>
        <w:t>Artifact 5: Pre-deployment data checklist</w:t>
      </w:r>
    </w:p>
    <w:p>
      <w:pPr>
        <w:pStyle w:val="Boxtext"/>
        <w:rPr/>
      </w:pPr>
      <w:r>
        <w:rPr>
          <w:b/>
          <w:bCs/>
        </w:rPr>
        <w:t>Standalone artifact.</w:t>
      </w:r>
      <w:r>
        <w:rPr/>
        <w:t xml:space="preserve"> Open AI Governance and Deployment Framework, Version 1.0. Licence: CC BY 4.0. Completed and signed by the Data Steward before the readiness gate (G2, Module 3); an incomplete checklist blocks the gate. It is an operating tool and it is not legal advice; items marked “local advice” require answers from a person qualified in your jurisdiction, and their name and date go on the line.</w:t>
      </w:r>
    </w:p>
    <w:p>
      <w:pPr>
        <w:pStyle w:val="Normal"/>
        <w:keepNext w:val="true"/>
        <w:rPr/>
      </w:pPr>
      <w:r>
        <w:rPr>
          <w:b/>
          <w:bCs/>
        </w:rPr>
        <w:t>System</w:t>
      </w:r>
    </w:p>
    <w:tbl>
      <w:tblPr>
        <w:tblStyle w:val="FrameworkTable"/>
        <w:tblW w:w="9298" w:type="dxa"/>
        <w:jc w:val="left"/>
        <w:tblInd w:w="90" w:type="dxa"/>
        <w:tblLayout w:type="fixed"/>
        <w:tblCellMar>
          <w:top w:w="40" w:type="dxa"/>
          <w:left w:w="85" w:type="dxa"/>
          <w:bottom w:w="40" w:type="dxa"/>
          <w:right w:w="85" w:type="dxa"/>
        </w:tblCellMar>
        <w:tblLook w:val="0000" w:noHBand="0" w:noVBand="0" w:firstColumn="0" w:lastRow="0" w:lastColumn="0" w:firstRow="0"/>
      </w:tblPr>
      <w:tblGrid>
        <w:gridCol w:w="7774"/>
        <w:gridCol w:w="1523"/>
      </w:tblGrid>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System and vendor</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Risk tier (attach the Module 2 worksheet)</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7774"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Vendor data specification received (Module 4.2.1)</w:t>
            </w:r>
          </w:p>
        </w:tc>
        <w:tc>
          <w:tcPr>
            <w:tcW w:w="152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 xml:space="preserve">☐ </w:t>
            </w:r>
            <w:r>
              <w:rPr>
                <w:rFonts w:eastAsia="Calibri" w:cs="Calibri"/>
                <w:kern w:val="0"/>
                <w:lang w:val="en-GB" w:eastAsia="en-GB" w:bidi="ar-SA"/>
              </w:rPr>
              <w:t>attached</w:t>
            </w:r>
          </w:p>
        </w:tc>
      </w:tr>
    </w:tbl>
    <w:p>
      <w:pPr>
        <w:pStyle w:val="Normal"/>
        <w:keepNext w:val="true"/>
        <w:spacing w:before="160" w:after="100"/>
        <w:rPr/>
      </w:pPr>
      <w:r>
        <w:rPr>
          <w:b/>
          <w:bCs/>
        </w:rPr>
        <w:t>Section A: Inventory.</w:t>
      </w:r>
      <w:r>
        <w:rPr/>
        <w:t xml:space="preserve"> One row per field or field group leaving the institution. Attach continuation sheets as needed.</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859"/>
        <w:gridCol w:w="1860"/>
        <w:gridCol w:w="1857"/>
        <w:gridCol w:w="1859"/>
        <w:gridCol w:w="1863"/>
      </w:tblGrid>
      <w:tr>
        <w:trPr>
          <w:tblHeader w:val="true"/>
          <w:cantSplit w:val="true"/>
        </w:trPr>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Field</w:t>
            </w:r>
          </w:p>
        </w:tc>
        <w:tc>
          <w:tcPr>
            <w:tcW w:w="186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Sensitivity class (5.2)</w:t>
            </w:r>
          </w:p>
        </w:tc>
        <w:tc>
          <w:tcPr>
            <w:tcW w:w="18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Needed for function? (vendor’s written answer)</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Withheld instead?</w:t>
            </w:r>
          </w:p>
        </w:tc>
        <w:tc>
          <w:tcPr>
            <w:tcW w:w="186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Regulator, if regulated data</w:t>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keepNext w:val="true"/>
        <w:spacing w:before="160" w:after="100"/>
        <w:rPr/>
      </w:pPr>
      <w:r>
        <w:rPr>
          <w:b/>
          <w:bCs/>
        </w:rPr>
        <w:t>Section A2: Unstructured sources</w:t>
      </w:r>
      <w:r>
        <w:rPr/>
        <w:t xml:space="preserve"> (generative deployments; one row per source)</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1859"/>
        <w:gridCol w:w="1860"/>
        <w:gridCol w:w="1857"/>
        <w:gridCol w:w="1859"/>
        <w:gridCol w:w="1863"/>
      </w:tblGrid>
      <w:tr>
        <w:trPr>
          <w:tblHeader w:val="true"/>
          <w:cantSplit w:val="true"/>
        </w:trPr>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Source</w:t>
            </w:r>
          </w:p>
        </w:tc>
        <w:tc>
          <w:tcPr>
            <w:tcW w:w="1860"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Worst sensitivity class realistically inside</w:t>
            </w:r>
          </w:p>
        </w:tc>
        <w:tc>
          <w:tcPr>
            <w:tcW w:w="1857"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Scrubbing or redaction control, verified on a sample by</w:t>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Needed for function?</w:t>
            </w:r>
          </w:p>
        </w:tc>
        <w:tc>
          <w:tcPr>
            <w:tcW w:w="1863"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Derived stores (embeddings, caches, memory) covered by location, retention, deletion answers?</w:t>
            </w:r>
          </w:p>
        </w:tc>
      </w:tr>
      <w:tr>
        <w:trPr>
          <w:cantSplit w:val="true"/>
        </w:trPr>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0"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7"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3"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b/>
          <w:bCs/>
        </w:rPr>
        <w:t>Section B: Lawful basis (local advice for Tier 2 and any sensitive personal data)</w:t>
      </w:r>
    </w:p>
    <w:p>
      <w:pPr>
        <w:pStyle w:val="Checklistitem"/>
        <w:rPr/>
      </w:pPr>
      <w:r>
        <w:rPr/>
        <w:t>☐</w:t>
      </w:r>
      <w:r>
        <w:rPr/>
        <w:tab/>
        <w:t>Legal basis for this use identified and recorded: ____________</w:t>
      </w:r>
    </w:p>
    <w:p>
      <w:pPr>
        <w:pStyle w:val="Checklistitem"/>
        <w:rPr/>
      </w:pPr>
      <w:r>
        <w:rPr/>
        <w:t>☐</w:t>
      </w:r>
      <w:r>
        <w:rPr/>
        <w:tab/>
        <w:t>Purpose compared with collection purpose; notice or consent steps identified: ____________</w:t>
      </w:r>
    </w:p>
    <w:p>
      <w:pPr>
        <w:pStyle w:val="Checklistitem"/>
        <w:rPr/>
      </w:pPr>
      <w:r>
        <w:rPr/>
        <w:t>☐</w:t>
      </w:r>
      <w:r>
        <w:rPr/>
        <w:tab/>
        <w:t>People in the data informed, where required; how: ____________</w:t>
      </w:r>
    </w:p>
    <w:p>
      <w:pPr>
        <w:pStyle w:val="Checklistitem"/>
        <w:rPr/>
      </w:pPr>
      <w:r>
        <w:rPr/>
        <w:t>☐</w:t>
      </w:r>
      <w:r>
        <w:rPr/>
        <w:tab/>
        <w:t>Formal risk or impact assessment required? ☐ No ☐ Yes → completed and attached</w:t>
      </w:r>
    </w:p>
    <w:p>
      <w:pPr>
        <w:pStyle w:val="ListParagraph"/>
        <w:numPr>
          <w:ilvl w:val="0"/>
          <w:numId w:val="7"/>
        </w:numPr>
        <w:rPr/>
      </w:pPr>
      <w:r>
        <w:rPr/>
        <w:t>Local advice by (name, qualification, date): ____________</w:t>
      </w:r>
    </w:p>
    <w:p>
      <w:pPr>
        <w:pStyle w:val="Normal"/>
        <w:rPr/>
      </w:pPr>
      <w:r>
        <w:rPr>
          <w:b/>
          <w:bCs/>
        </w:rPr>
        <w:t>Section C: Location and access</w:t>
      </w:r>
    </w:p>
    <w:p>
      <w:pPr>
        <w:pStyle w:val="Checklistitem"/>
        <w:rPr/>
      </w:pPr>
      <w:r>
        <w:rPr/>
        <w:t>☐</w:t>
      </w:r>
      <w:r>
        <w:rPr/>
        <w:tab/>
        <w:t>Storage countries, in the contract schedule: ____________</w:t>
      </w:r>
    </w:p>
    <w:p>
      <w:pPr>
        <w:pStyle w:val="Checklistitem"/>
        <w:rPr/>
      </w:pPr>
      <w:r>
        <w:rPr/>
        <w:t>☐</w:t>
      </w:r>
      <w:r>
        <w:rPr/>
        <w:tab/>
        <w:t>Processing countries: ____________ Backup countries: ____________</w:t>
      </w:r>
    </w:p>
    <w:p>
      <w:pPr>
        <w:pStyle w:val="Checklistitem"/>
        <w:rPr/>
      </w:pPr>
      <w:r>
        <w:rPr/>
        <w:t>☐</w:t>
      </w:r>
      <w:r>
        <w:rPr/>
        <w:tab/>
        <w:t>Countries from which vendor or subcontractor staff can access: ____________</w:t>
      </w:r>
    </w:p>
    <w:p>
      <w:pPr>
        <w:pStyle w:val="Checklistitem"/>
        <w:rPr/>
      </w:pPr>
      <w:r>
        <w:rPr/>
        <w:t>☐</w:t>
      </w:r>
      <w:r>
        <w:rPr/>
        <w:tab/>
        <w:t>Transfer restrictions checked locally; instrument named: ____________</w:t>
      </w:r>
    </w:p>
    <w:p>
      <w:pPr>
        <w:pStyle w:val="Checklistitem"/>
        <w:rPr/>
      </w:pPr>
      <w:r>
        <w:rPr/>
        <w:t>☐</w:t>
      </w:r>
      <w:r>
        <w:rPr/>
        <w:tab/>
        <w:t>Region setting configured and recorded, where the product offers one</w:t>
      </w:r>
    </w:p>
    <w:p>
      <w:pPr>
        <w:pStyle w:val="Checklistitem"/>
        <w:rPr/>
      </w:pPr>
      <w:r>
        <w:rPr/>
        <w:t>☐</w:t>
      </w:r>
      <w:r>
        <w:rPr/>
        <w:tab/>
        <w:t>Governing law of vendor and compelled-disclosure question put in writing to vendor and adviser; answers filed</w:t>
      </w:r>
    </w:p>
    <w:p>
      <w:pPr>
        <w:pStyle w:val="Normal"/>
        <w:rPr/>
      </w:pPr>
      <w:r>
        <w:rPr>
          <w:b/>
          <w:bCs/>
        </w:rPr>
        <w:t>Section D: AI-specific security (5.4)</w:t>
      </w:r>
    </w:p>
    <w:p>
      <w:pPr>
        <w:pStyle w:val="Checklistitem"/>
        <w:rPr/>
      </w:pPr>
      <w:r>
        <w:rPr/>
        <w:t>☐</w:t>
      </w:r>
      <w:r>
        <w:rPr/>
        <w:tab/>
        <w:t>Named-account access only; access list at go-live filed; quarterly review scheduled</w:t>
      </w:r>
    </w:p>
    <w:p>
      <w:pPr>
        <w:pStyle w:val="Checklistitem"/>
        <w:rPr/>
      </w:pPr>
      <w:r>
        <w:rPr/>
        <w:t>☐</w:t>
      </w:r>
      <w:r>
        <w:rPr/>
        <w:tab/>
        <w:t>Injection testing evidence received (systems reading untrusted text); independent security test commissioned for public-facing systems (name, date): ____________</w:t>
      </w:r>
    </w:p>
    <w:p>
      <w:pPr>
        <w:pStyle w:val="Checklistitem"/>
        <w:rPr/>
      </w:pPr>
      <w:r>
        <w:rPr/>
        <w:t>☐</w:t>
      </w:r>
      <w:r>
        <w:rPr/>
        <w:tab/>
        <w:t>Training use of our data: excluded in writing, or separately agreed with leadership signature attached</w:t>
      </w:r>
    </w:p>
    <w:p>
      <w:pPr>
        <w:pStyle w:val="Checklistitem"/>
        <w:rPr/>
      </w:pPr>
      <w:r>
        <w:rPr/>
        <w:t>☐</w:t>
      </w:r>
      <w:r>
        <w:rPr/>
        <w:tab/>
        <w:t>Session and customer separation described by vendor in writing; canary test planned for validation</w:t>
      </w:r>
    </w:p>
    <w:p>
      <w:pPr>
        <w:pStyle w:val="Checklistitem"/>
        <w:rPr/>
      </w:pPr>
      <w:r>
        <w:rPr/>
        <w:t>☐</w:t>
      </w:r>
      <w:r>
        <w:rPr/>
        <w:tab/>
        <w:t>Vendor access bounded in contract; access log review scheduled into annual audit</w:t>
      </w:r>
    </w:p>
    <w:p>
      <w:pPr>
        <w:pStyle w:val="Checklistitem"/>
        <w:rPr/>
      </w:pPr>
      <w:r>
        <w:rPr/>
        <w:t>☐</w:t>
      </w:r>
      <w:r>
        <w:rPr/>
        <w:tab/>
        <w:t>Log export confirmed; monthly query-volume review by the Operational Lead</w:t>
      </w:r>
    </w:p>
    <w:p>
      <w:pPr>
        <w:pStyle w:val="Checklistitem"/>
        <w:rPr/>
      </w:pPr>
      <w:r>
        <w:rPr/>
        <w:t>☐</w:t>
      </w:r>
      <w:r>
        <w:rPr/>
        <w:tab/>
        <w:t>Decision systems: influential-inputs statement received and gaming metric added to the monitoring plan</w:t>
      </w:r>
    </w:p>
    <w:p>
      <w:pPr>
        <w:pStyle w:val="Normal"/>
        <w:rPr/>
      </w:pPr>
      <w:r>
        <w:rPr>
          <w:b/>
          <w:bCs/>
        </w:rPr>
        <w:t>Section E: Minimisation and retention</w:t>
      </w:r>
    </w:p>
    <w:p>
      <w:pPr>
        <w:pStyle w:val="Checklistitem"/>
        <w:rPr/>
      </w:pPr>
      <w:r>
        <w:rPr/>
        <w:t>☐</w:t>
      </w:r>
      <w:r>
        <w:rPr/>
        <w:tab/>
        <w:t>Field set reduced to the vendor specification’s justified minimum; withholdings recorded in Section A</w:t>
      </w:r>
    </w:p>
    <w:p>
      <w:pPr>
        <w:pStyle w:val="Checklistitem"/>
        <w:rPr/>
      </w:pPr>
      <w:r>
        <w:rPr/>
        <w:t>☐</w:t>
      </w:r>
      <w:r>
        <w:rPr/>
        <w:tab/>
        <w:t>Any “anonymised” or “aggregated” claim: method in writing, taken to local advice where sensitive</w:t>
      </w:r>
    </w:p>
    <w:p>
      <w:pPr>
        <w:pStyle w:val="Checklistitem"/>
        <w:rPr/>
      </w:pPr>
      <w:r>
        <w:rPr/>
        <w:t>☐</w:t>
      </w:r>
      <w:r>
        <w:rPr/>
        <w:tab/>
        <w:t>Retention, as dates, per flow, in the contract schedule: ____________</w:t>
      </w:r>
    </w:p>
    <w:p>
      <w:pPr>
        <w:pStyle w:val="Checklistitem"/>
        <w:rPr/>
      </w:pPr>
      <w:r>
        <w:rPr/>
        <w:t>☐</w:t>
      </w:r>
      <w:r>
        <w:rPr/>
        <w:tab/>
        <w:t>Deletion or return at end, with written certification, per Module 4 Clause 12</w:t>
      </w:r>
    </w:p>
    <w:p>
      <w:pPr>
        <w:pStyle w:val="Normal"/>
        <w:rPr/>
      </w:pPr>
      <w:r>
        <w:rPr>
          <w:b/>
          <w:bCs/>
        </w:rPr>
        <w:t>Section F: Special categories (5.6), where applicable</w:t>
      </w:r>
    </w:p>
    <w:p>
      <w:pPr>
        <w:pStyle w:val="Checklistitem"/>
        <w:rPr/>
      </w:pPr>
      <w:r>
        <w:rPr/>
        <w:t>☐</w:t>
      </w:r>
      <w:r>
        <w:rPr/>
        <w:tab/>
        <w:t>Health data: regulator guidance identified; approvals or ethics review obtained where required</w:t>
      </w:r>
    </w:p>
    <w:p>
      <w:pPr>
        <w:pStyle w:val="Checklistitem"/>
        <w:rPr/>
      </w:pPr>
      <w:r>
        <w:rPr/>
        <w:t>☐</w:t>
      </w:r>
      <w:r>
        <w:rPr/>
        <w:tab/>
        <w:t>Children’s data: lawful basis answered by local advice; vendor experience recorded in due diligence</w:t>
      </w:r>
    </w:p>
    <w:p>
      <w:pPr>
        <w:pStyle w:val="Checklistitem"/>
        <w:rPr/>
      </w:pPr>
      <w:r>
        <w:rPr/>
        <w:t>☐</w:t>
      </w:r>
      <w:r>
        <w:rPr/>
        <w:tab/>
        <w:t>Financial data: supervisor’s outsourcing and cloud rules mapped; notifications or approvals done</w:t>
      </w:r>
    </w:p>
    <w:p>
      <w:pPr>
        <w:pStyle w:val="Checklistitem"/>
        <w:rPr/>
      </w:pPr>
      <w:r>
        <w:rPr/>
        <w:t>☐</w:t>
      </w:r>
      <w:r>
        <w:rPr/>
        <w:tab/>
        <w:t>Government administrative data: statutory confidentiality checked; in-country or on-premises default applied or departure justified in writing</w:t>
      </w:r>
    </w:p>
    <w:p>
      <w:pPr>
        <w:pStyle w:val="Normal"/>
        <w:keepNext w:val="true"/>
        <w:rPr/>
      </w:pPr>
      <w:r>
        <w:rPr>
          <w:b/>
          <w:bCs/>
        </w:rPr>
        <w:t>Sign-off</w:t>
      </w:r>
    </w:p>
    <w:tbl>
      <w:tblPr>
        <w:tblStyle w:val="FrameworkTable"/>
        <w:tblW w:w="9298" w:type="dxa"/>
        <w:jc w:val="left"/>
        <w:tblInd w:w="90" w:type="dxa"/>
        <w:tblLayout w:type="fixed"/>
        <w:tblCellMar>
          <w:top w:w="40" w:type="dxa"/>
          <w:left w:w="85" w:type="dxa"/>
          <w:bottom w:w="40" w:type="dxa"/>
          <w:right w:w="85" w:type="dxa"/>
        </w:tblCellMar>
        <w:tblLook w:val="0020" w:noHBand="0" w:noVBand="0" w:firstColumn="0" w:lastRow="0" w:lastColumn="0" w:firstRow="1"/>
      </w:tblPr>
      <w:tblGrid>
        <w:gridCol w:w="4206"/>
        <w:gridCol w:w="1859"/>
        <w:gridCol w:w="1371"/>
        <w:gridCol w:w="1861"/>
      </w:tblGrid>
      <w:tr>
        <w:trPr>
          <w:tblHeader w:val="true"/>
          <w:cantSplit w:val="true"/>
        </w:trPr>
        <w:tc>
          <w:tcPr>
            <w:tcW w:w="4206"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59"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Name</w:t>
            </w:r>
          </w:p>
        </w:tc>
        <w:tc>
          <w:tcPr>
            <w:tcW w:w="137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Role</w:t>
            </w:r>
          </w:p>
        </w:tc>
        <w:tc>
          <w:tcPr>
            <w:tcW w:w="1861" w:type="dxa"/>
            <w:tcBorders/>
            <w:shd w:color="auto" w:fill="DCE4EF" w:val="clear"/>
          </w:tcPr>
          <w:p>
            <w:pPr>
              <w:pStyle w:val="Tableheader"/>
              <w:spacing w:before="20" w:after="20"/>
              <w:jc w:val="left"/>
              <w:rPr>
                <w:rFonts w:ascii="Calibri" w:hAnsi="Calibri" w:eastAsia="Calibri" w:cs="Calibri"/>
                <w:kern w:val="0"/>
                <w:lang w:val="en-GB" w:eastAsia="en-GB" w:bidi="ar-SA"/>
              </w:rPr>
            </w:pPr>
            <w:r>
              <w:rPr>
                <w:rFonts w:eastAsia="Calibri" w:cs="Calibri"/>
                <w:kern w:val="0"/>
                <w:lang w:val="en-GB" w:eastAsia="en-GB" w:bidi="ar-SA"/>
              </w:rPr>
              <w:t>Date</w:t>
            </w:r>
          </w:p>
        </w:tc>
      </w:tr>
      <w:tr>
        <w:trPr>
          <w:cantSplit w:val="true"/>
        </w:trPr>
        <w:tc>
          <w:tcPr>
            <w:tcW w:w="42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Completed and signed</w:t>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3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Data Steward</w:t>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r>
        <w:trPr>
          <w:cantSplit w:val="true"/>
        </w:trPr>
        <w:tc>
          <w:tcPr>
            <w:tcW w:w="4206"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t>Local advice items confirmed (where applicable)</w:t>
            </w:r>
          </w:p>
        </w:tc>
        <w:tc>
          <w:tcPr>
            <w:tcW w:w="1859"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37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c>
          <w:tcPr>
            <w:tcW w:w="1861" w:type="dxa"/>
            <w:tcBorders/>
          </w:tcPr>
          <w:p>
            <w:pPr>
              <w:pStyle w:val="Tabletext"/>
              <w:spacing w:before="20" w:after="20"/>
              <w:jc w:val="left"/>
              <w:rPr>
                <w:rFonts w:ascii="Calibri" w:hAnsi="Calibri" w:eastAsia="Calibri" w:cs="Calibri"/>
                <w:kern w:val="0"/>
                <w:lang w:val="en-GB" w:eastAsia="en-GB" w:bidi="ar-SA"/>
              </w:rPr>
            </w:pPr>
            <w:r>
              <w:rPr>
                <w:rFonts w:eastAsia="Calibri" w:cs="Calibri"/>
                <w:kern w:val="0"/>
                <w:lang w:val="en-GB" w:eastAsia="en-GB" w:bidi="ar-SA"/>
              </w:rPr>
            </w:r>
          </w:p>
        </w:tc>
      </w:tr>
    </w:tbl>
    <w:p>
      <w:pPr>
        <w:pStyle w:val="Normal"/>
        <w:spacing w:before="160" w:after="100"/>
        <w:rPr/>
      </w:pPr>
      <w:r>
        <w:rPr>
          <w:i/>
          <w:iCs/>
        </w:rPr>
        <w:t>File with the G2 gate record in the system register (Module 7).</w:t>
      </w:r>
    </w:p>
    <w:p>
      <w:pPr>
        <w:pStyle w:val="Heading2"/>
        <w:rPr/>
      </w:pPr>
      <w:bookmarkStart w:id="10" w:name="references-for-this-module"/>
      <w:r>
        <w:rPr/>
        <w:t>References for this module</w:t>
      </w:r>
    </w:p>
    <w:p>
      <w:pPr>
        <w:pStyle w:val="ListParagraph"/>
        <w:numPr>
          <w:ilvl w:val="0"/>
          <w:numId w:val="8"/>
        </w:numPr>
        <w:rPr/>
      </w:pPr>
      <w:r>
        <w:rPr/>
        <w:t>Information Commissioner’s Office (United Kingdom), “Royal Free - Google DeepMind trial failed to comply with data protection law,” news release, 3 July 2017, with the accompanying Data Protection Act 1998 undertaking signed by the Royal Free NHS Foundation Trust (ico.org.uk, undertaking document royal-free-undertaking-03072017). Findings drawn on: approximately 1.6 million partial patient records processed for the clinical safety testing of the Streams application; patients not adequately informed; a proper legal basis to be established; the volume provided found excessive; a privacy impact assessment required, including specific steps for transparency.</w:t>
      </w:r>
    </w:p>
    <w:p>
      <w:pPr>
        <w:pStyle w:val="ListParagraph"/>
        <w:numPr>
          <w:ilvl w:val="0"/>
          <w:numId w:val="9"/>
        </w:numPr>
        <w:spacing w:before="0" w:after="60"/>
        <w:rPr/>
      </w:pPr>
      <w:bookmarkStart w:id="11" w:name="module-5-data-security-and-sovereignty"/>
      <w:bookmarkStart w:id="12" w:name="references-for-this-module"/>
      <w:r>
        <w:rPr/>
        <w:t>ISO/IEC 27001:2022, Information security, cybersecurity and privacy protection, Information security management systems, Requirements. Referenced as the assumed baseline standard in section 5.4.</w:t>
      </w:r>
      <w:bookmarkEnd w:id="11"/>
      <w:bookmarkEnd w:id="12"/>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304" w:right="1304" w:gutter="0" w:header="709" w:top="1418" w:footer="709" w:bottom="1418"/>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Liberation Sans">
    <w:altName w:val="Arial"/>
    <w:charset w:val="01"/>
    <w:family w:val="swiss"/>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7</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fldChar w:fldCharType="begin"/>
    </w:r>
    <w:r>
      <w:rPr/>
      <w:instrText xml:space="preserve"> PAGE </w:instrText>
    </w:r>
    <w:r>
      <w:rPr/>
      <w:fldChar w:fldCharType="separate"/>
    </w:r>
    <w:r>
      <w:rPr/>
      <w:t>7</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t>Open AI Governance and Deployment Framework, Version 1.0, 1 October 2026. Licence: CC BY 4.0.</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2">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3">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4">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OpenSymbol" w:hAnsi="OpenSymbol" w:cs="OpenSymbol" w:hint="default"/>
      </w:rPr>
    </w:lvl>
    <w:lvl w:ilvl="2">
      <w:start w:val="0"/>
      <w:numFmt w:val="bullet"/>
      <w:lvlText w:val="▪"/>
      <w:lvlJc w:val="left"/>
      <w:pPr>
        <w:tabs>
          <w:tab w:val="num" w:pos="0"/>
        </w:tabs>
        <w:ind w:left="2160" w:hanging="480"/>
      </w:pPr>
      <w:rPr>
        <w:rFonts w:ascii="OpenSymbol" w:hAnsi="OpenSymbol" w:cs="Open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OpenSymbol" w:hAnsi="OpenSymbol" w:cs="OpenSymbol" w:hint="default"/>
      </w:rPr>
    </w:lvl>
    <w:lvl w:ilvl="5">
      <w:start w:val="0"/>
      <w:numFmt w:val="bullet"/>
      <w:lvlText w:val="▪"/>
      <w:lvlJc w:val="left"/>
      <w:pPr>
        <w:tabs>
          <w:tab w:val="num" w:pos="0"/>
        </w:tabs>
        <w:ind w:left="4320" w:hanging="480"/>
      </w:pPr>
      <w:rPr>
        <w:rFonts w:ascii="OpenSymbol" w:hAnsi="OpenSymbol" w:cs="Open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OpenSymbol" w:hAnsi="OpenSymbol" w:cs="OpenSymbol" w:hint="default"/>
      </w:rPr>
    </w:lvl>
    <w:lvl w:ilvl="8">
      <w:start w:val="0"/>
      <w:numFmt w:val="bullet"/>
      <w:lvlText w:val="▪"/>
      <w:lvlJc w:val="left"/>
      <w:pPr>
        <w:tabs>
          <w:tab w:val="num" w:pos="0"/>
        </w:tabs>
        <w:ind w:left="6480" w:hanging="480"/>
      </w:pPr>
      <w:rPr>
        <w:rFonts w:ascii="OpenSymbol" w:hAnsi="OpenSymbol" w:cs="Open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2"/>
    <w:lvlOverride w:ilvl="0">
      <w:startOverride w:val="1"/>
    </w:lvlOverride>
  </w:num>
  <w:num w:numId="7">
    <w:abstractNumId w:val="1"/>
  </w:num>
  <w:num w:numId="8">
    <w:abstractNumId w:val="1"/>
  </w:num>
  <w:num w:numId="9">
    <w:abstractNumId w:val="1"/>
  </w:num>
</w:numbering>
</file>

<file path=word/settings.xml><?xml version="1.0" encoding="utf-8"?>
<w:settings xmlns:w="http://schemas.openxmlformats.org/wordprocessingml/2006/main">
  <w:zoom w:percent="100"/>
  <w:embedSystemFonts/>
  <w:defaultTabStop w:val="720"/>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en-GB" w:eastAsia="en-GB" w:bidi="ar-SA"/>
      </w:rPr>
    </w:rPrDefault>
    <w:pPrDefault>
      <w:pPr>
        <w:suppressAutoHyphens w:val="true"/>
      </w:pPr>
    </w:pPrDefault>
  </w:docDefaults>
  <w:style w:type="paragraph" w:styleId="Normal" w:default="1">
    <w:name w:val="Normal"/>
    <w:qFormat/>
    <w:pPr>
      <w:widowControl/>
      <w:bidi w:val="0"/>
      <w:spacing w:lineRule="auto" w:line="259" w:before="0" w:after="100"/>
      <w:jc w:val="left"/>
    </w:pPr>
    <w:rPr>
      <w:rFonts w:ascii="Calibri" w:hAnsi="Calibri" w:eastAsia="Calibri" w:cs="Calibri"/>
      <w:color w:val="1A1A1A"/>
      <w:kern w:val="0"/>
      <w:sz w:val="20"/>
      <w:szCs w:val="20"/>
      <w:lang w:val="en-GB" w:eastAsia="en-GB" w:bidi="ar-SA"/>
    </w:rPr>
  </w:style>
  <w:style w:type="paragraph" w:styleId="Heading1">
    <w:name w:val="Heading 1"/>
    <w:basedOn w:val="Normal"/>
    <w:next w:val="Normal"/>
    <w:uiPriority w:val="9"/>
    <w:qFormat/>
    <w:pPr>
      <w:keepNext w:val="true"/>
      <w:keepLines/>
      <w:spacing w:lineRule="auto" w:line="240" w:before="0" w:after="280"/>
      <w:outlineLvl w:val="0"/>
    </w:pPr>
    <w:rPr>
      <w:b/>
      <w:bCs/>
      <w:color w:val="1F3864"/>
      <w:sz w:val="40"/>
      <w:szCs w:val="40"/>
    </w:rPr>
  </w:style>
  <w:style w:type="paragraph" w:styleId="Heading2">
    <w:name w:val="Heading 2"/>
    <w:basedOn w:val="Normal"/>
    <w:next w:val="Normal"/>
    <w:uiPriority w:val="9"/>
    <w:qFormat/>
    <w:pPr>
      <w:keepNext w:val="true"/>
      <w:keepLines/>
      <w:spacing w:lineRule="auto" w:line="240" w:before="360" w:after="120"/>
      <w:outlineLvl w:val="1"/>
    </w:pPr>
    <w:rPr>
      <w:b/>
      <w:bCs/>
      <w:color w:val="1F3864"/>
      <w:sz w:val="28"/>
      <w:szCs w:val="28"/>
    </w:rPr>
  </w:style>
  <w:style w:type="character" w:styleId="DefaultParagraphFont" w:default="1">
    <w:name w:val="Default Paragraph Font"/>
    <w:uiPriority w:val="1"/>
    <w:semiHidden/>
    <w:unhideWhenUsed/>
    <w:qFormat/>
    <w:rPr/>
  </w:style>
  <w:style w:type="paragraph" w:styleId="ListParagraph">
    <w:name w:val="List Paragraph"/>
    <w:basedOn w:val="Normal"/>
    <w:uiPriority w:val="34"/>
    <w:qFormat/>
    <w:pPr>
      <w:spacing w:before="0" w:after="60"/>
      <w:ind w:left="720"/>
    </w:pPr>
    <w:rPr/>
  </w:style>
  <w:style w:type="paragraph" w:styleId="Checklistitem" w:customStyle="1">
    <w:name w:val="Checklist item"/>
    <w:basedOn w:val="Normal"/>
    <w:qFormat/>
    <w:pPr>
      <w:tabs>
        <w:tab w:val="clear" w:pos="720"/>
        <w:tab w:val="left" w:pos="340" w:leader="none"/>
      </w:tabs>
      <w:spacing w:lineRule="exact" w:line="264" w:before="0" w:after="60"/>
      <w:ind w:hanging="340" w:left="340"/>
    </w:pPr>
    <w:rPr/>
  </w:style>
  <w:style w:type="paragraph" w:styleId="Boxtext" w:customStyle="1">
    <w:name w:val="Box text"/>
    <w:basedOn w:val="Normal"/>
    <w:qFormat/>
    <w:pPr>
      <w:pBdr>
        <w:left w:val="single" w:sz="18" w:space="8" w:color="1F3864"/>
      </w:pBdr>
      <w:shd w:val="clear" w:color="auto" w:fill="EEF2F7"/>
      <w:spacing w:before="60" w:after="60"/>
      <w:ind w:left="227" w:right="113"/>
    </w:pPr>
    <w:rPr/>
  </w:style>
  <w:style w:type="paragraph" w:styleId="Tabletext" w:customStyle="1">
    <w:name w:val="Table text"/>
    <w:basedOn w:val="Normal"/>
    <w:qFormat/>
    <w:pPr>
      <w:spacing w:lineRule="auto" w:line="240" w:before="20" w:after="20"/>
    </w:pPr>
    <w:rPr>
      <w:sz w:val="18"/>
      <w:szCs w:val="18"/>
    </w:rPr>
  </w:style>
  <w:style w:type="paragraph" w:styleId="Tableheader" w:customStyle="1">
    <w:name w:val="Table header"/>
    <w:basedOn w:val="Normal"/>
    <w:qFormat/>
    <w:pPr>
      <w:keepNext w:val="true"/>
      <w:spacing w:lineRule="auto" w:line="240" w:before="20" w:after="20"/>
    </w:pPr>
    <w:rPr>
      <w:b/>
      <w:bCs/>
      <w:sz w:val="18"/>
      <w:szCs w:val="18"/>
    </w:rPr>
  </w:style>
  <w:style w:type="paragraph" w:styleId="Header">
    <w:name w:val="Header"/>
    <w:basedOn w:val="Normal"/>
    <w:uiPriority w:val="99"/>
    <w:unhideWhenUsed/>
    <w:qFormat/>
    <w:pPr>
      <w:tabs>
        <w:tab w:val="clear" w:pos="720"/>
        <w:tab w:val="right" w:pos="9298" w:leader="none"/>
      </w:tabs>
      <w:spacing w:lineRule="auto" w:line="240" w:before="0" w:after="0"/>
    </w:pPr>
    <w:rPr>
      <w:color w:val="595959"/>
      <w:sz w:val="16"/>
      <w:szCs w:val="16"/>
    </w:rPr>
  </w:style>
  <w:style w:type="paragraph" w:styleId="Footer">
    <w:name w:val="Footer"/>
    <w:basedOn w:val="Normal"/>
    <w:uiPriority w:val="99"/>
    <w:unhideWhenUsed/>
    <w:qFormat/>
    <w:pPr>
      <w:spacing w:lineRule="auto" w:line="240" w:before="0" w:after="0"/>
      <w:jc w:val="center"/>
    </w:pPr>
    <w:rPr>
      <w:color w:val="595959"/>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FrameworkTable">
    <w:name w:val="Framework table"/>
    <w:basedOn w:val="TableNormal"/>
    <w:uiPriority w:val="59"/>
    <w:pPr>
      <w:spacing w:after="0" w:line="240" w:lineRule="auto"/>
    </w:pPr>
    <w:tblPr>
      <w:tblBorders>
        <w:top w:val="single" w:color="A6A6A6" w:sz="4" w:space="0"/>
        <w:left w:val="single" w:color="A6A6A6" w:sz="4" w:space="0"/>
        <w:bottom w:val="single" w:color="A6A6A6" w:sz="4" w:space="0"/>
        <w:right w:val="single" w:color="A6A6A6" w:sz="4" w:space="0"/>
        <w:insideH w:val="single" w:color="A6A6A6" w:sz="4" w:space="0"/>
        <w:insideV w:val="single" w:color="A6A6A6" w:sz="4" w:space="0"/>
      </w:tblBorders>
      <w:tblCellMar>
        <w:top w:w="40" w:type="dxa"/>
        <w:left w:w="85" w:type="dxa"/>
        <w:bottom w:w="40" w:type="dxa"/>
        <w:right w:w="85"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7</Pages>
  <Words>3730</Words>
  <Characters>20570</Characters>
  <CharactersWithSpaces>24151</CharactersWithSpaces>
  <Paragraphs>136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2026-09-29T14:49:28Z</dcterms:created>
  <dc:creator>Yellow Sapphire Technologies Inc.</dc:creator>
  <dc:description>Version 1.0, 1 October 2026. Published by Yellow Sapphire Technologies Inc. under CC BY 4.0. doi:10.5281/zenodo.22986774</dc:description>
  <cp:keywords>AI governance, AI deployment, procurement, risk tiering, human oversight, data protection, monitoring</cp:keywords>
  <dc:language>en-GB</dc:language>
  <cp:lastModifiedBy>Yellow Sapphire Technologies Inc.</cp:lastModifiedBy>
  <dcterms:modified xsi:type="dcterms:W3CDTF">2026-09-29T14:49:28Z</dcterms:modified>
  <cp:revision>1</cp:revision>
  <dc:subject>An operating manual for institutions that buy, deploy, and run AI systems</dc:subject>
  <dc:title>Open AI Governance and Deployment Framework, Version 1.0. Module 5: Data, security, and sovereignty</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I">
    <vt:lpwstr>10.5281/zenodo.22986774</vt:lpwstr>
  </property>
  <property fmtid="{D5CDD505-2E9C-101B-9397-08002B2CF9AE}" pid="3" name="Language">
    <vt:lpwstr>en-GB</vt:lpwstr>
  </property>
  <property fmtid="{D5CDD505-2E9C-101B-9397-08002B2CF9AE}" pid="4" name="Licence">
    <vt:lpwstr>CC BY 4.0</vt:lpwstr>
  </property>
  <property fmtid="{D5CDD505-2E9C-101B-9397-08002B2CF9AE}" pid="5" name="Publication date">
    <vt:lpwstr>2026-10-01</vt:lpwstr>
  </property>
  <property fmtid="{D5CDD505-2E9C-101B-9397-08002B2CF9AE}" pid="6" name="Publisher">
    <vt:lpwstr>Yellow Sapphire Technologies Inc.</vt:lpwstr>
  </property>
  <property fmtid="{D5CDD505-2E9C-101B-9397-08002B2CF9AE}" pid="7" name="Version">
    <vt:lpwstr>1.0</vt:lpwstr>
  </property>
</Properties>
</file>