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settings.xml" ContentType="application/vnd.openxmlformats-officedocument.wordprocessingml.settings+xml"/>
  <Override PartName="/word/header3.xml" ContentType="application/vnd.openxmlformats-officedocument.wordprocessingml.header+xml"/>
  <Override PartName="/word/footer1.xml" ContentType="application/vnd.openxmlformats-officedocument.wordprocessingml.footer+xml"/>
  <Override PartName="/word/numbering.xml" ContentType="application/vnd.openxmlformats-officedocument.wordprocessingml.numbering+xml"/>
  <Override PartName="/word/fontTable.xml" ContentType="application/vnd.openxmlformats-officedocument.wordprocessingml.fontTable+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Heading1"/>
        <w:rPr/>
      </w:pPr>
      <w:bookmarkStart w:id="0" w:name="Xaa160e5e74268da10fd84c617dc156af7f1db68"/>
      <w:r>
        <w:rPr/>
        <w:t>7.2 Risk classification worksheet (from Module 2)</w:t>
      </w:r>
    </w:p>
    <w:p>
      <w:pPr>
        <w:pStyle w:val="Boxtext"/>
        <w:rPr/>
      </w:pPr>
      <w:r>
        <w:rPr>
          <w:b/>
          <w:bCs/>
        </w:rPr>
        <w:t>Standalone artifact.</w:t>
      </w:r>
      <w:r>
        <w:rPr/>
        <w:t xml:space="preserve"> Open AI Governance and Deployment Framework, Version 1.0. Toolkit edition. Licence: CC BY 4.0. One worksheet per use case, including free tools and systems already live. It is designed to be completed in under an hour once the system description (Module 4, section 4.2.1) is in hand. It is an operating tool and it is not legal advice; where a law classifies your system, the law’s classification governs.</w:t>
      </w:r>
    </w:p>
    <w:p>
      <w:pPr>
        <w:pStyle w:val="Normal"/>
        <w:keepNext w:val="true"/>
        <w:rPr/>
      </w:pPr>
      <w:r>
        <w:rPr>
          <w:b/>
          <w:bCs/>
        </w:rPr>
        <w:t>Use case being classified</w:t>
      </w:r>
    </w:p>
    <w:tbl>
      <w:tblPr>
        <w:tblStyle w:val="FrameworkTable"/>
        <w:tblW w:w="9638" w:type="dxa"/>
        <w:jc w:val="left"/>
        <w:tblInd w:w="90" w:type="dxa"/>
        <w:tblLayout w:type="fixed"/>
        <w:tblCellMar>
          <w:top w:w="40" w:type="dxa"/>
          <w:left w:w="85" w:type="dxa"/>
          <w:bottom w:w="40" w:type="dxa"/>
          <w:right w:w="85" w:type="dxa"/>
        </w:tblCellMar>
        <w:tblLook w:val="0000" w:noHBand="0" w:noVBand="0" w:firstColumn="0" w:lastRow="0" w:lastColumn="0" w:firstRow="0"/>
      </w:tblPr>
      <w:tblGrid>
        <w:gridCol w:w="5781"/>
        <w:gridCol w:w="3856"/>
      </w:tblGrid>
      <w:tr>
        <w:trPr>
          <w:cantSplit w:val="true"/>
        </w:trPr>
        <w:tc>
          <w:tcPr>
            <w:tcW w:w="5781"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System and vendor</w:t>
            </w:r>
          </w:p>
        </w:tc>
        <w:tc>
          <w:tcPr>
            <w:tcW w:w="3856"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r>
          </w:p>
        </w:tc>
      </w:tr>
      <w:tr>
        <w:trPr>
          <w:cantSplit w:val="true"/>
        </w:trPr>
        <w:tc>
          <w:tcPr>
            <w:tcW w:w="5781"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The use case, in one sentence (what decision or output, for whom)</w:t>
            </w:r>
          </w:p>
        </w:tc>
        <w:tc>
          <w:tcPr>
            <w:tcW w:w="3856"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r>
          </w:p>
        </w:tc>
      </w:tr>
      <w:tr>
        <w:trPr>
          <w:cantSplit w:val="true"/>
        </w:trPr>
        <w:tc>
          <w:tcPr>
            <w:tcW w:w="5781"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Users of the output</w:t>
            </w:r>
          </w:p>
        </w:tc>
        <w:tc>
          <w:tcPr>
            <w:tcW w:w="3856"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r>
          </w:p>
        </w:tc>
      </w:tr>
      <w:tr>
        <w:trPr>
          <w:cantSplit w:val="true"/>
        </w:trPr>
        <w:tc>
          <w:tcPr>
            <w:tcW w:w="5781"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People affected by the output</w:t>
            </w:r>
          </w:p>
        </w:tc>
        <w:tc>
          <w:tcPr>
            <w:tcW w:w="3856"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r>
          </w:p>
        </w:tc>
      </w:tr>
      <w:tr>
        <w:trPr>
          <w:cantSplit w:val="true"/>
        </w:trPr>
        <w:tc>
          <w:tcPr>
            <w:tcW w:w="5781"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Expected volume (outputs per week)</w:t>
            </w:r>
          </w:p>
        </w:tc>
        <w:tc>
          <w:tcPr>
            <w:tcW w:w="3856"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r>
          </w:p>
        </w:tc>
      </w:tr>
      <w:tr>
        <w:trPr>
          <w:cantSplit w:val="true"/>
        </w:trPr>
        <w:tc>
          <w:tcPr>
            <w:tcW w:w="5781"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Model or product version reviewed</w:t>
            </w:r>
          </w:p>
        </w:tc>
        <w:tc>
          <w:tcPr>
            <w:tcW w:w="3856"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r>
          </w:p>
        </w:tc>
      </w:tr>
      <w:tr>
        <w:trPr>
          <w:cantSplit w:val="true"/>
        </w:trPr>
        <w:tc>
          <w:tcPr>
            <w:tcW w:w="5781"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Deployment location(s) and sites</w:t>
            </w:r>
          </w:p>
        </w:tc>
        <w:tc>
          <w:tcPr>
            <w:tcW w:w="3856"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r>
          </w:p>
        </w:tc>
      </w:tr>
    </w:tbl>
    <w:p>
      <w:pPr>
        <w:pStyle w:val="Normal"/>
        <w:spacing w:before="160" w:after="100"/>
        <w:rPr/>
      </w:pPr>
      <w:r>
        <w:rPr>
          <w:b/>
          <w:bCs/>
        </w:rPr>
        <w:t>Step 1: Escalation list.</w:t>
      </w:r>
      <w:r>
        <w:rPr/>
        <w:t xml:space="preserve"> Tick any that apply.</w:t>
      </w:r>
    </w:p>
    <w:p>
      <w:pPr>
        <w:pStyle w:val="Checklistitem"/>
        <w:rPr/>
      </w:pPr>
      <w:r>
        <w:rPr/>
        <w:t>☐</w:t>
      </w:r>
      <w:r>
        <w:rPr/>
        <w:tab/>
        <w:t>Scores or ranks people’s general trustworthiness or social behaviour across contexts</w:t>
      </w:r>
    </w:p>
    <w:p>
      <w:pPr>
        <w:pStyle w:val="Checklistitem"/>
        <w:rPr/>
      </w:pPr>
      <w:r>
        <w:rPr/>
        <w:t>☐</w:t>
      </w:r>
      <w:r>
        <w:rPr/>
        <w:tab/>
        <w:t>Biometric identification in public spaces, or biometric categorisation of people</w:t>
      </w:r>
    </w:p>
    <w:p>
      <w:pPr>
        <w:pStyle w:val="Checklistitem"/>
        <w:rPr/>
      </w:pPr>
      <w:r>
        <w:rPr/>
        <w:t>☐</w:t>
      </w:r>
      <w:r>
        <w:rPr/>
        <w:tab/>
        <w:t>Infers emotions or protected characteristics about employees, students, or the public</w:t>
      </w:r>
    </w:p>
    <w:p>
      <w:pPr>
        <w:pStyle w:val="Checklistitem"/>
        <w:rPr/>
      </w:pPr>
      <w:r>
        <w:rPr/>
        <w:t>☐</w:t>
      </w:r>
      <w:r>
        <w:rPr/>
        <w:tab/>
        <w:t>Adverse decisions about people, fully automated, with no individual human review and no appeal</w:t>
      </w:r>
    </w:p>
    <w:p>
      <w:pPr>
        <w:pStyle w:val="Checklistitem"/>
        <w:rPr/>
      </w:pPr>
      <w:r>
        <w:rPr/>
        <w:t>☐</w:t>
      </w:r>
      <w:r>
        <w:rPr/>
        <w:tab/>
        <w:t>Inputs include protected characteristics or close proxies, in a system touching decisions about people (rule 5)</w:t>
      </w:r>
    </w:p>
    <w:p>
      <w:pPr>
        <w:pStyle w:val="Checklistitem"/>
        <w:rPr/>
      </w:pPr>
      <w:r>
        <w:rPr/>
        <w:t>☐</w:t>
      </w:r>
      <w:r>
        <w:rPr/>
        <w:tab/>
        <w:t>Known to be prohibited or restricted by a law that applies to us (state which), or legal status unknown (if unknown, do not decide: route this worksheet to legal review before classifying further): ____________</w:t>
      </w:r>
    </w:p>
    <w:p>
      <w:pPr>
        <w:pStyle w:val="Normal"/>
        <w:rPr/>
      </w:pPr>
      <w:r>
        <w:rPr>
          <w:i/>
          <w:iCs/>
        </w:rPr>
        <w:t>Any tick: STOP. Tier 1. Route to legal counsel and a relevant specialist with this worksheet attached. Leadership sign-off required to proceed on any path.</w:t>
      </w:r>
    </w:p>
    <w:p>
      <w:pPr>
        <w:pStyle w:val="Normal"/>
        <w:rPr/>
      </w:pPr>
      <w:r>
        <w:rPr>
          <w:b/>
          <w:bCs/>
        </w:rPr>
        <w:t>Step 2: Decision question.</w:t>
      </w:r>
      <w:r>
        <w:rPr/>
        <w:t xml:space="preserve"> Does the system inform or make decisions that can be adverse to an identifiable person (care, money or credit, benefits, housing, education, employment, essential services, legal standing, liberty)?</w:t>
      </w:r>
    </w:p>
    <w:p>
      <w:pPr>
        <w:pStyle w:val="Checklistitem"/>
        <w:rPr/>
      </w:pPr>
      <w:r>
        <w:rPr/>
        <w:t>☐</w:t>
      </w:r>
      <w:r>
        <w:rPr/>
        <w:tab/>
        <w:t xml:space="preserve">Yes → </w:t>
      </w:r>
      <w:r>
        <w:rPr>
          <w:b/>
          <w:bCs/>
        </w:rPr>
        <w:t>Tier 2.</w:t>
      </w:r>
      <w:r>
        <w:rPr/>
        <w:t xml:space="preserve"> Go to Step 4. ☐ No → Step 3.</w:t>
      </w:r>
    </w:p>
    <w:p>
      <w:pPr>
        <w:pStyle w:val="Normal"/>
        <w:rPr/>
      </w:pPr>
      <w:r>
        <w:rPr/>
        <w:t>One sentence of reasoning: ____________</w:t>
      </w:r>
    </w:p>
    <w:p>
      <w:pPr>
        <w:pStyle w:val="Normal"/>
        <w:rPr/>
      </w:pPr>
      <w:r>
        <w:rPr>
          <w:b/>
          <w:bCs/>
        </w:rPr>
        <w:t>Step 3: Dependence question.</w:t>
      </w:r>
      <w:r>
        <w:rPr/>
        <w:t xml:space="preserve"> Do the outputs steer operations that people depend on, without deciding about any identifiable person?</w:t>
      </w:r>
    </w:p>
    <w:p>
      <w:pPr>
        <w:pStyle w:val="Checklistitem"/>
        <w:rPr/>
      </w:pPr>
      <w:r>
        <w:rPr/>
        <w:t>☐</w:t>
      </w:r>
      <w:r>
        <w:rPr/>
        <w:tab/>
        <w:t xml:space="preserve">Yes → </w:t>
      </w:r>
      <w:r>
        <w:rPr>
          <w:b/>
          <w:bCs/>
        </w:rPr>
        <w:t>Tier 3.</w:t>
      </w:r>
      <w:r>
        <w:rPr/>
        <w:t xml:space="preserve"> ☐ No → </w:t>
      </w:r>
      <w:r>
        <w:rPr>
          <w:b/>
          <w:bCs/>
        </w:rPr>
        <w:t>Tier 4.</w:t>
      </w:r>
      <w:r>
        <w:rPr/>
        <w:t xml:space="preserve"> Go to Step 4.</w:t>
      </w:r>
    </w:p>
    <w:p>
      <w:pPr>
        <w:pStyle w:val="Normal"/>
        <w:rPr/>
      </w:pPr>
      <w:r>
        <w:rPr/>
        <w:t>One sentence of reasoning: ____________</w:t>
      </w:r>
    </w:p>
    <w:p>
      <w:pPr>
        <w:pStyle w:val="Normal"/>
        <w:rPr/>
      </w:pPr>
      <w:r>
        <w:rPr>
          <w:b/>
          <w:bCs/>
        </w:rPr>
        <w:t>Step 4: Modifiers.</w:t>
      </w:r>
      <w:r>
        <w:rPr/>
        <w:t xml:space="preserve"> These move the case up only.</w:t>
      </w:r>
    </w:p>
    <w:p>
      <w:pPr>
        <w:pStyle w:val="ListParagraph"/>
        <w:numPr>
          <w:ilvl w:val="0"/>
          <w:numId w:val="1"/>
        </w:numPr>
        <w:rPr/>
      </w:pPr>
      <w:r>
        <w:rPr/>
        <w:t>Autonomy: will individual outputs take effect without prior human review? ☐ No ☐ Yes → Tier 3 or 4 moves up one tier; at Tier 2 this is Step 1 territory: STOP and escalate.</w:t>
        <w:br/>
        <w:t>If human review is claimed, show the arithmetic: (outputs per week ______ ÷ reviewers ______) ÷ working days per week ______ = ______ reviews per reviewer per day. Is that real review? ☐ Yes ☐ No → treat as no prior human review.</w:t>
      </w:r>
    </w:p>
    <w:p>
      <w:pPr>
        <w:pStyle w:val="ListParagraph"/>
        <w:numPr>
          <w:ilvl w:val="0"/>
          <w:numId w:val="1"/>
        </w:numPr>
        <w:rPr/>
      </w:pPr>
      <w:r>
        <w:rPr/>
        <w:t>Detectability: if an output were wrong, would anyone notice within days? State the mechanism that would notice it: ____________</w:t>
        <w:br/>
        <w:t>☐ Yes ☐ No → Tier 3 or 4 moves up one tier; at Tier 2, the strict Module 6 path is mandated (shadow mode before go-live; monitoring designed around unnoticed failures).</w:t>
      </w:r>
    </w:p>
    <w:p>
      <w:pPr>
        <w:pStyle w:val="Normal"/>
        <w:keepNext w:val="true"/>
        <w:rPr/>
      </w:pPr>
      <w:r>
        <w:rPr>
          <w:b/>
          <w:bCs/>
        </w:rPr>
        <w:t>Result</w:t>
      </w:r>
    </w:p>
    <w:tbl>
      <w:tblPr>
        <w:tblStyle w:val="FrameworkTable"/>
        <w:tblW w:w="9638" w:type="dxa"/>
        <w:jc w:val="left"/>
        <w:tblInd w:w="90" w:type="dxa"/>
        <w:tblLayout w:type="fixed"/>
        <w:tblCellMar>
          <w:top w:w="40" w:type="dxa"/>
          <w:left w:w="85" w:type="dxa"/>
          <w:bottom w:w="40" w:type="dxa"/>
          <w:right w:w="85" w:type="dxa"/>
        </w:tblCellMar>
        <w:tblLook w:val="0000" w:noHBand="0" w:noVBand="0" w:firstColumn="0" w:lastRow="0" w:lastColumn="0" w:firstRow="0"/>
      </w:tblPr>
      <w:tblGrid>
        <w:gridCol w:w="8463"/>
        <w:gridCol w:w="1174"/>
      </w:tblGrid>
      <w:tr>
        <w:trPr>
          <w:cantSplit w:val="true"/>
        </w:trPr>
        <w:tc>
          <w:tcPr>
            <w:tcW w:w="8463"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Final tier</w:t>
            </w:r>
          </w:p>
        </w:tc>
        <w:tc>
          <w:tcPr>
            <w:tcW w:w="1174"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r>
          </w:p>
        </w:tc>
      </w:tr>
      <w:tr>
        <w:trPr>
          <w:cantSplit w:val="true"/>
        </w:trPr>
        <w:tc>
          <w:tcPr>
            <w:tcW w:w="8463"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Governance load acknowledged (attach or reference the tier table, Module 2.3)</w:t>
            </w:r>
          </w:p>
        </w:tc>
        <w:tc>
          <w:tcPr>
            <w:tcW w:w="1174"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w:t>
            </w:r>
          </w:p>
        </w:tc>
      </w:tr>
      <w:tr>
        <w:trPr>
          <w:cantSplit w:val="true"/>
        </w:trPr>
        <w:tc>
          <w:tcPr>
            <w:tcW w:w="8463"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Acceptable-use note written (general-purpose tools only, rule 1)</w:t>
            </w:r>
          </w:p>
        </w:tc>
        <w:tc>
          <w:tcPr>
            <w:tcW w:w="1174"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 xml:space="preserve">☐ </w:t>
            </w:r>
            <w:r>
              <w:rPr>
                <w:rFonts w:eastAsia="Calibri" w:cs="Calibri"/>
                <w:kern w:val="0"/>
                <w:lang w:val="en-GB" w:eastAsia="en-GB" w:bidi="ar-SA"/>
              </w:rPr>
              <w:t>attached</w:t>
            </w:r>
          </w:p>
        </w:tc>
      </w:tr>
      <w:tr>
        <w:trPr>
          <w:cantSplit w:val="true"/>
        </w:trPr>
        <w:tc>
          <w:tcPr>
            <w:tcW w:w="8463"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Re-classification triggers acknowledged (rule 4), plus any system-specific trigger, stated: ____________</w:t>
            </w:r>
          </w:p>
        </w:tc>
        <w:tc>
          <w:tcPr>
            <w:tcW w:w="1174"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w:t>
            </w:r>
          </w:p>
        </w:tc>
      </w:tr>
      <w:tr>
        <w:trPr>
          <w:cantSplit w:val="true"/>
        </w:trPr>
        <w:tc>
          <w:tcPr>
            <w:tcW w:w="8463"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Next scheduled review date (12 months Tier 2 and 3; 24 months Tier 4)</w:t>
            </w:r>
          </w:p>
        </w:tc>
        <w:tc>
          <w:tcPr>
            <w:tcW w:w="1174"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r>
          </w:p>
        </w:tc>
      </w:tr>
    </w:tbl>
    <w:p>
      <w:pPr>
        <w:pStyle w:val="Normal"/>
        <w:keepNext w:val="true"/>
        <w:spacing w:before="160" w:after="100"/>
        <w:rPr/>
      </w:pPr>
      <w:r>
        <w:rPr>
          <w:b/>
          <w:bCs/>
        </w:rPr>
        <w:t>Signatures</w:t>
      </w:r>
    </w:p>
    <w:tbl>
      <w:tblPr>
        <w:tblStyle w:val="FrameworkTable"/>
        <w:tblW w:w="9638" w:type="dxa"/>
        <w:jc w:val="left"/>
        <w:tblInd w:w="90" w:type="dxa"/>
        <w:tblLayout w:type="fixed"/>
        <w:tblCellMar>
          <w:top w:w="40" w:type="dxa"/>
          <w:left w:w="85" w:type="dxa"/>
          <w:bottom w:w="40" w:type="dxa"/>
          <w:right w:w="85" w:type="dxa"/>
        </w:tblCellMar>
        <w:tblLook w:val="0020" w:noHBand="0" w:noVBand="0" w:firstColumn="0" w:lastRow="0" w:lastColumn="0" w:firstRow="1"/>
      </w:tblPr>
      <w:tblGrid>
        <w:gridCol w:w="3855"/>
        <w:gridCol w:w="1926"/>
        <w:gridCol w:w="1928"/>
        <w:gridCol w:w="1928"/>
      </w:tblGrid>
      <w:tr>
        <w:trPr>
          <w:tblHeader w:val="true"/>
          <w:cantSplit w:val="true"/>
        </w:trPr>
        <w:tc>
          <w:tcPr>
            <w:tcW w:w="3855" w:type="dxa"/>
            <w:tcBorders/>
            <w:shd w:color="auto" w:fill="DCE4EF" w:val="clear"/>
          </w:tcPr>
          <w:p>
            <w:pPr>
              <w:pStyle w:val="Tableheader"/>
              <w:spacing w:before="20" w:after="20"/>
              <w:jc w:val="left"/>
              <w:rPr>
                <w:rFonts w:ascii="Calibri" w:hAnsi="Calibri" w:eastAsia="Calibri" w:cs="Calibri"/>
                <w:kern w:val="0"/>
                <w:lang w:val="en-GB" w:eastAsia="en-GB" w:bidi="ar-SA"/>
              </w:rPr>
            </w:pPr>
            <w:r>
              <w:rPr>
                <w:rFonts w:eastAsia="Calibri" w:cs="Calibri"/>
                <w:kern w:val="0"/>
                <w:lang w:val="en-GB" w:eastAsia="en-GB" w:bidi="ar-SA"/>
              </w:rPr>
            </w:r>
          </w:p>
        </w:tc>
        <w:tc>
          <w:tcPr>
            <w:tcW w:w="1926" w:type="dxa"/>
            <w:tcBorders/>
            <w:shd w:color="auto" w:fill="DCE4EF" w:val="clear"/>
          </w:tcPr>
          <w:p>
            <w:pPr>
              <w:pStyle w:val="Tableheader"/>
              <w:spacing w:before="20" w:after="20"/>
              <w:jc w:val="left"/>
              <w:rPr>
                <w:rFonts w:ascii="Calibri" w:hAnsi="Calibri" w:eastAsia="Calibri" w:cs="Calibri"/>
                <w:kern w:val="0"/>
                <w:lang w:val="en-GB" w:eastAsia="en-GB" w:bidi="ar-SA"/>
              </w:rPr>
            </w:pPr>
            <w:r>
              <w:rPr>
                <w:rFonts w:eastAsia="Calibri" w:cs="Calibri"/>
                <w:kern w:val="0"/>
                <w:lang w:val="en-GB" w:eastAsia="en-GB" w:bidi="ar-SA"/>
              </w:rPr>
              <w:t>Name</w:t>
            </w:r>
          </w:p>
        </w:tc>
        <w:tc>
          <w:tcPr>
            <w:tcW w:w="1928" w:type="dxa"/>
            <w:tcBorders/>
            <w:shd w:color="auto" w:fill="DCE4EF" w:val="clear"/>
          </w:tcPr>
          <w:p>
            <w:pPr>
              <w:pStyle w:val="Tableheader"/>
              <w:spacing w:before="20" w:after="20"/>
              <w:jc w:val="left"/>
              <w:rPr>
                <w:rFonts w:ascii="Calibri" w:hAnsi="Calibri" w:eastAsia="Calibri" w:cs="Calibri"/>
                <w:kern w:val="0"/>
                <w:lang w:val="en-GB" w:eastAsia="en-GB" w:bidi="ar-SA"/>
              </w:rPr>
            </w:pPr>
            <w:r>
              <w:rPr>
                <w:rFonts w:eastAsia="Calibri" w:cs="Calibri"/>
                <w:kern w:val="0"/>
                <w:lang w:val="en-GB" w:eastAsia="en-GB" w:bidi="ar-SA"/>
              </w:rPr>
              <w:t>Role</w:t>
            </w:r>
          </w:p>
        </w:tc>
        <w:tc>
          <w:tcPr>
            <w:tcW w:w="1928" w:type="dxa"/>
            <w:tcBorders/>
            <w:shd w:color="auto" w:fill="DCE4EF" w:val="clear"/>
          </w:tcPr>
          <w:p>
            <w:pPr>
              <w:pStyle w:val="Tableheader"/>
              <w:spacing w:before="20" w:after="20"/>
              <w:jc w:val="left"/>
              <w:rPr>
                <w:rFonts w:ascii="Calibri" w:hAnsi="Calibri" w:eastAsia="Calibri" w:cs="Calibri"/>
                <w:kern w:val="0"/>
                <w:lang w:val="en-GB" w:eastAsia="en-GB" w:bidi="ar-SA"/>
              </w:rPr>
            </w:pPr>
            <w:r>
              <w:rPr>
                <w:rFonts w:eastAsia="Calibri" w:cs="Calibri"/>
                <w:kern w:val="0"/>
                <w:lang w:val="en-GB" w:eastAsia="en-GB" w:bidi="ar-SA"/>
              </w:rPr>
              <w:t>Date</w:t>
            </w:r>
          </w:p>
        </w:tc>
      </w:tr>
      <w:tr>
        <w:trPr>
          <w:cantSplit w:val="true"/>
        </w:trPr>
        <w:tc>
          <w:tcPr>
            <w:tcW w:w="3855"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Classified by</w:t>
            </w:r>
          </w:p>
        </w:tc>
        <w:tc>
          <w:tcPr>
            <w:tcW w:w="1926"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r>
          </w:p>
        </w:tc>
        <w:tc>
          <w:tcPr>
            <w:tcW w:w="1928"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r>
          </w:p>
        </w:tc>
        <w:tc>
          <w:tcPr>
            <w:tcW w:w="1928"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r>
          </w:p>
        </w:tc>
      </w:tr>
      <w:tr>
        <w:trPr>
          <w:cantSplit w:val="true"/>
        </w:trPr>
        <w:tc>
          <w:tcPr>
            <w:tcW w:w="3855"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Confirmed by (System Owner for Tier 2; a peer outside the proposing team otherwise)</w:t>
            </w:r>
          </w:p>
        </w:tc>
        <w:tc>
          <w:tcPr>
            <w:tcW w:w="1926"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r>
          </w:p>
        </w:tc>
        <w:tc>
          <w:tcPr>
            <w:tcW w:w="1928"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r>
          </w:p>
        </w:tc>
        <w:tc>
          <w:tcPr>
            <w:tcW w:w="1928"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r>
          </w:p>
        </w:tc>
      </w:tr>
    </w:tbl>
    <w:p>
      <w:pPr>
        <w:pStyle w:val="Normal"/>
        <w:spacing w:before="160" w:after="100"/>
        <w:rPr/>
      </w:pPr>
      <w:r>
        <w:rPr>
          <w:i/>
          <w:iCs/>
        </w:rPr>
        <w:t>File this worksheet in the system register (Module 7, Artifact 7.11).</w:t>
      </w:r>
    </w:p>
    <w:p>
      <w:pPr>
        <w:pStyle w:val="Normal"/>
        <w:widowControl/>
        <w:bidi w:val="0"/>
        <w:spacing w:lineRule="auto" w:line="259" w:before="0" w:after="100"/>
        <w:jc w:val="left"/>
        <w:rPr/>
      </w:pPr>
      <w:r>
        <w:rPr>
          <w:b/>
          <w:bCs/>
        </w:rPr>
        <w:t>Document control.</w:t>
      </w:r>
      <w:r>
        <w:rPr/>
        <w:t xml:space="preserve"> Document version: ____________ Prepared by: ____________ Last updated: ____________ Next review: ____________</w:t>
      </w:r>
      <w:bookmarkEnd w:id="0"/>
    </w:p>
    <w:sectPr>
      <w:headerReference w:type="even" r:id="rId2"/>
      <w:headerReference w:type="default" r:id="rId3"/>
      <w:headerReference w:type="first" r:id="rId4"/>
      <w:footerReference w:type="even" r:id="rId5"/>
      <w:footerReference w:type="default" r:id="rId6"/>
      <w:footerReference w:type="first" r:id="rId7"/>
      <w:type w:val="nextPage"/>
      <w:pgSz w:w="11906" w:h="16838"/>
      <w:pgMar w:left="1134" w:right="1134" w:gutter="0" w:header="567" w:top="1134" w:footer="567" w:bottom="1134"/>
      <w:pgNumType w:fmt="decimal"/>
      <w:formProt w:val="false"/>
      <w:textDirection w:val="lrTb"/>
      <w:docGrid w:type="default" w:linePitch="360" w:charSpace="8192"/>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Calibri">
    <w:charset w:val="01"/>
    <w:family w:val="roman"/>
    <w:pitch w:val="variable"/>
  </w:font>
  <w:font w:name="Liberation Sans">
    <w:altName w:val="Arial"/>
    <w:charset w:val="01"/>
    <w:family w:val="swiss"/>
    <w:pitch w:val="variable"/>
  </w:font>
  <w:font w:name="Symbol">
    <w:charset w:val="02"/>
    <w:family w:val="auto"/>
    <w:pitch w:val="default"/>
  </w:font>
  <w:font w:name="OpenSymbol">
    <w:altName w:val="Arial Unicode MS"/>
    <w:charset w:val="01"/>
    <w:family w:val="auto"/>
    <w:pitch w:val="default"/>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fldChar w:fldCharType="begin"/>
    </w:r>
    <w:r>
      <w:rPr/>
      <w:instrText xml:space="preserve"> PAGE </w:instrText>
    </w:r>
    <w:r>
      <w:rPr/>
      <w:fldChar w:fldCharType="separate"/>
    </w:r>
    <w:r>
      <w:rPr/>
      <w:t>2</w:t>
    </w:r>
    <w:r>
      <w:rPr/>
      <w:fldChar w:fldCharType="end"/>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fldChar w:fldCharType="begin"/>
    </w:r>
    <w:r>
      <w:rPr/>
      <w:instrText xml:space="preserve"> PAGE </w:instrText>
    </w:r>
    <w:r>
      <w:rPr/>
      <w:fldChar w:fldCharType="separate"/>
    </w:r>
    <w:r>
      <w:rPr/>
      <w:t>2</w:t>
    </w:r>
    <w:r>
      <w:rPr/>
      <w:fldChar w:fldCharType="end"/>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t>Open AI Governance and Deployment Framework, Version 1.0, 1 October 2026. Licence: CC BY 4.0.</w:t>
    </w: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t>Open AI Governance and Deployment Framework, Version 1.0, 1 October 2026. Licence: CC BY 4.0.</w:t>
    </w:r>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OpenSymbol" w:hAnsi="OpenSymbol" w:cs="OpenSymbol" w:hint="default"/>
      </w:rPr>
    </w:lvl>
    <w:lvl w:ilvl="2">
      <w:start w:val="0"/>
      <w:numFmt w:val="bullet"/>
      <w:lvlText w:val="▪"/>
      <w:lvlJc w:val="left"/>
      <w:pPr>
        <w:tabs>
          <w:tab w:val="num" w:pos="0"/>
        </w:tabs>
        <w:ind w:left="2160" w:hanging="480"/>
      </w:pPr>
      <w:rPr>
        <w:rFonts w:ascii="OpenSymbol" w:hAnsi="OpenSymbol" w:cs="Open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OpenSymbol" w:hAnsi="OpenSymbol" w:cs="OpenSymbol" w:hint="default"/>
      </w:rPr>
    </w:lvl>
    <w:lvl w:ilvl="5">
      <w:start w:val="0"/>
      <w:numFmt w:val="bullet"/>
      <w:lvlText w:val="▪"/>
      <w:lvlJc w:val="left"/>
      <w:pPr>
        <w:tabs>
          <w:tab w:val="num" w:pos="0"/>
        </w:tabs>
        <w:ind w:left="4320" w:hanging="480"/>
      </w:pPr>
      <w:rPr>
        <w:rFonts w:ascii="OpenSymbol" w:hAnsi="OpenSymbol" w:cs="Open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OpenSymbol" w:hAnsi="OpenSymbol" w:cs="OpenSymbol" w:hint="default"/>
      </w:rPr>
    </w:lvl>
    <w:lvl w:ilvl="8">
      <w:start w:val="0"/>
      <w:numFmt w:val="bullet"/>
      <w:lvlText w:val="▪"/>
      <w:lvlJc w:val="left"/>
      <w:pPr>
        <w:tabs>
          <w:tab w:val="num" w:pos="0"/>
        </w:tabs>
        <w:ind w:left="6480" w:hanging="480"/>
      </w:pPr>
      <w:rPr>
        <w:rFonts w:ascii="OpenSymbol" w:hAnsi="OpenSymbol" w:cs="OpenSymbol" w:hint="default"/>
      </w:r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SystemFonts/>
  <w:defaultTabStop w:val="720"/>
  <w:autoHyphenation w:val="true"/>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Calibri"/>
        <w:lang w:val="en-GB" w:eastAsia="en-GB" w:bidi="ar-SA"/>
      </w:rPr>
    </w:rPrDefault>
    <w:pPrDefault>
      <w:pPr>
        <w:suppressAutoHyphens w:val="true"/>
      </w:pPr>
    </w:pPrDefault>
  </w:docDefaults>
  <w:style w:type="paragraph" w:styleId="Normal" w:default="1">
    <w:name w:val="Normal"/>
    <w:qFormat/>
    <w:pPr>
      <w:widowControl/>
      <w:bidi w:val="0"/>
      <w:spacing w:lineRule="auto" w:line="259" w:before="0" w:after="100"/>
      <w:jc w:val="left"/>
    </w:pPr>
    <w:rPr>
      <w:rFonts w:ascii="Calibri" w:hAnsi="Calibri" w:eastAsia="Calibri" w:cs="Calibri"/>
      <w:color w:val="1A1A1A"/>
      <w:kern w:val="0"/>
      <w:sz w:val="20"/>
      <w:szCs w:val="20"/>
      <w:lang w:val="en-GB" w:eastAsia="en-GB" w:bidi="ar-SA"/>
    </w:rPr>
  </w:style>
  <w:style w:type="paragraph" w:styleId="Heading1">
    <w:name w:val="Heading 1"/>
    <w:basedOn w:val="Normal"/>
    <w:next w:val="Normal"/>
    <w:uiPriority w:val="9"/>
    <w:qFormat/>
    <w:pPr>
      <w:keepNext w:val="true"/>
      <w:keepLines/>
      <w:spacing w:lineRule="auto" w:line="240" w:before="0" w:after="280"/>
      <w:outlineLvl w:val="0"/>
    </w:pPr>
    <w:rPr>
      <w:b/>
      <w:bCs/>
      <w:color w:val="1F3864"/>
      <w:sz w:val="40"/>
      <w:szCs w:val="40"/>
    </w:rPr>
  </w:style>
  <w:style w:type="character" w:styleId="DefaultParagraphFont" w:default="1">
    <w:name w:val="Default Paragraph Font"/>
    <w:uiPriority w:val="1"/>
    <w:semiHidden/>
    <w:unhideWhenUsed/>
    <w:qFormat/>
    <w:rPr/>
  </w:style>
  <w:style w:type="paragraph" w:styleId="ListParagraph">
    <w:name w:val="List Paragraph"/>
    <w:basedOn w:val="Normal"/>
    <w:uiPriority w:val="34"/>
    <w:qFormat/>
    <w:pPr>
      <w:spacing w:before="0" w:after="60"/>
      <w:ind w:left="720"/>
    </w:pPr>
    <w:rPr/>
  </w:style>
  <w:style w:type="paragraph" w:styleId="Checklistitem" w:customStyle="1">
    <w:name w:val="Checklist item"/>
    <w:basedOn w:val="Normal"/>
    <w:qFormat/>
    <w:pPr>
      <w:tabs>
        <w:tab w:val="clear" w:pos="720"/>
        <w:tab w:val="left" w:pos="340" w:leader="none"/>
      </w:tabs>
      <w:spacing w:lineRule="exact" w:line="264" w:before="0" w:after="60"/>
      <w:ind w:hanging="340" w:left="340"/>
    </w:pPr>
    <w:rPr/>
  </w:style>
  <w:style w:type="paragraph" w:styleId="Boxtext" w:customStyle="1">
    <w:name w:val="Box text"/>
    <w:basedOn w:val="Normal"/>
    <w:qFormat/>
    <w:pPr>
      <w:pBdr>
        <w:left w:val="single" w:sz="18" w:space="8" w:color="1F3864"/>
      </w:pBdr>
      <w:shd w:val="clear" w:color="auto" w:fill="EEF2F7"/>
      <w:spacing w:before="60" w:after="60"/>
      <w:ind w:left="227" w:right="113"/>
    </w:pPr>
    <w:rPr/>
  </w:style>
  <w:style w:type="paragraph" w:styleId="Tabletext" w:customStyle="1">
    <w:name w:val="Table text"/>
    <w:basedOn w:val="Normal"/>
    <w:qFormat/>
    <w:pPr>
      <w:spacing w:lineRule="auto" w:line="240" w:before="20" w:after="20"/>
    </w:pPr>
    <w:rPr>
      <w:sz w:val="18"/>
      <w:szCs w:val="18"/>
    </w:rPr>
  </w:style>
  <w:style w:type="paragraph" w:styleId="Tableheader" w:customStyle="1">
    <w:name w:val="Table header"/>
    <w:basedOn w:val="Normal"/>
    <w:qFormat/>
    <w:pPr>
      <w:keepNext w:val="true"/>
      <w:spacing w:lineRule="auto" w:line="240" w:before="20" w:after="20"/>
    </w:pPr>
    <w:rPr>
      <w:b/>
      <w:bCs/>
      <w:sz w:val="18"/>
      <w:szCs w:val="18"/>
    </w:rPr>
  </w:style>
  <w:style w:type="paragraph" w:styleId="Header">
    <w:name w:val="Header"/>
    <w:basedOn w:val="Normal"/>
    <w:uiPriority w:val="99"/>
    <w:unhideWhenUsed/>
    <w:qFormat/>
    <w:pPr>
      <w:tabs>
        <w:tab w:val="clear" w:pos="720"/>
        <w:tab w:val="right" w:pos="9298" w:leader="none"/>
      </w:tabs>
      <w:spacing w:lineRule="auto" w:line="240" w:before="0" w:after="0"/>
    </w:pPr>
    <w:rPr>
      <w:color w:val="595959"/>
      <w:sz w:val="16"/>
      <w:szCs w:val="16"/>
    </w:rPr>
  </w:style>
  <w:style w:type="paragraph" w:styleId="Footer">
    <w:name w:val="Footer"/>
    <w:basedOn w:val="Normal"/>
    <w:uiPriority w:val="99"/>
    <w:unhideWhenUsed/>
    <w:qFormat/>
    <w:pPr>
      <w:spacing w:lineRule="auto" w:line="240" w:before="0" w:after="0"/>
      <w:jc w:val="center"/>
    </w:pPr>
    <w:rPr>
      <w:color w:val="595959"/>
      <w:sz w:val="18"/>
      <w:szCs w:val="18"/>
    </w:rPr>
  </w:style>
  <w:style w:type="numbering" w:styleId="NoList" w:default="1">
    <w:name w:val="No List"/>
    <w:uiPriority w:val="99"/>
    <w:semiHidden/>
    <w:unhideWhenUsed/>
    <w:qFormat/>
  </w:style>
  <w:style w:type="table" w:default="1" w:styleId="TableNormal">
    <w:name w:val="Normal Table"/>
    <w:uiPriority w:val="99"/>
    <w:semiHidden/>
    <w:unhideWhenUsed/>
    <w:tblPr>
      <w:tblCellMar>
        <w:top w:w="0" w:type="dxa"/>
        <w:left w:w="108" w:type="dxa"/>
        <w:bottom w:w="0" w:type="dxa"/>
        <w:right w:w="108" w:type="dxa"/>
      </w:tblCellMar>
    </w:tblPr>
  </w:style>
  <w:style w:type="table" w:customStyle="1" w:styleId="FrameworkTable">
    <w:name w:val="Framework table"/>
    <w:basedOn w:val="TableNormal"/>
    <w:uiPriority w:val="59"/>
    <w:pPr>
      <w:spacing w:after="0" w:line="240" w:lineRule="auto"/>
    </w:pPr>
    <w:tblPr>
      <w:tblBorders>
        <w:top w:val="single" w:color="A6A6A6" w:sz="4" w:space="0"/>
        <w:left w:val="single" w:color="A6A6A6" w:sz="4" w:space="0"/>
        <w:bottom w:val="single" w:color="A6A6A6" w:sz="4" w:space="0"/>
        <w:right w:val="single" w:color="A6A6A6" w:sz="4" w:space="0"/>
        <w:insideH w:val="single" w:color="A6A6A6" w:sz="4" w:space="0"/>
        <w:insideV w:val="single" w:color="A6A6A6" w:sz="4" w:space="0"/>
      </w:tblBorders>
      <w:tblCellMar>
        <w:top w:w="40" w:type="dxa"/>
        <w:left w:w="85" w:type="dxa"/>
        <w:bottom w:w="40" w:type="dxa"/>
        <w:right w:w="85"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eader" Target="header1.xml"/><Relationship Id="rId3" Type="http://schemas.openxmlformats.org/officeDocument/2006/relationships/header" Target="header2.xml"/><Relationship Id="rId4" Type="http://schemas.openxmlformats.org/officeDocument/2006/relationships/header" Target="header3.xml"/><Relationship Id="rId5" Type="http://schemas.openxmlformats.org/officeDocument/2006/relationships/footer" Target="footer1.xml"/><Relationship Id="rId6" Type="http://schemas.openxmlformats.org/officeDocument/2006/relationships/footer" Target="footer2.xml"/><Relationship Id="rId7" Type="http://schemas.openxmlformats.org/officeDocument/2006/relationships/footer" Target="footer3.xml"/><Relationship Id="rId8" Type="http://schemas.openxmlformats.org/officeDocument/2006/relationships/numbering" Target="numbering.xml"/><Relationship Id="rId9" Type="http://schemas.openxmlformats.org/officeDocument/2006/relationships/fontTable" Target="fontTable.xml"/><Relationship Id="rId10" Type="http://schemas.openxmlformats.org/officeDocument/2006/relationships/settings" Target="settings.xml"/><Relationship Id="rId11"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pitchFamily="0" charset="1"/>
        <a:ea typeface=""/>
        <a:cs typeface=""/>
      </a:majorFont>
      <a:minorFont>
        <a:latin typeface="Cambria" pitchFamily="0" charset="1"/>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l="0" t="0" r="0" b="0"/>
        </a:gradFill>
        <a:gradFill>
          <a:gsLst>
            <a:gs pos="0">
              <a:schemeClr val="phClr">
                <a:tint val="100000"/>
                <a:shade val="100000"/>
              </a:schemeClr>
            </a:gs>
            <a:gs pos="100000">
              <a:schemeClr val="phClr">
                <a:tint val="50000"/>
                <a:shade val="100000"/>
              </a:schemeClr>
            </a:gs>
          </a:gsLst>
          <a:lin ang="16200000" scaled="0"/>
          <a:tileRect l="0" t="0" r="0" b="0"/>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l="0" t="0" r="0" b="0"/>
        </a:gradFill>
        <a:gradFill>
          <a:gsLst>
            <a:gs pos="0">
              <a:schemeClr val="phClr">
                <a:tint val="80000"/>
              </a:schemeClr>
            </a:gs>
            <a:gs pos="100000">
              <a:schemeClr val="phClr">
                <a:shade val="30000"/>
              </a:schemeClr>
            </a:gs>
          </a:gsLst>
          <a:path path="circle">
            <a:fillToRect l="50000" t="50000" r="50000" b="50000"/>
          </a:path>
          <a:tileRect l="0" t="0" r="0" b="0"/>
        </a:gradFill>
      </a:bgFillStyleLst>
    </a:fmtScheme>
  </a:themeElements>
</a:theme>
</file>

<file path=docProps/app.xml><?xml version="1.0" encoding="utf-8"?>
<Properties xmlns="http://schemas.openxmlformats.org/officeDocument/2006/extended-properties" xmlns:vt="http://schemas.openxmlformats.org/officeDocument/2006/docPropsVTypes">
  <Template/>
  <TotalTime>0</TotalTime>
  <Application>LibreOffice/24.2.7.2$Linux_X86_64 LibreOffice_project/420$Build-2</Application>
  <AppVersion>15.0000</AppVersion>
  <Pages>2</Pages>
  <Words>594</Words>
  <Characters>3078</Characters>
  <CharactersWithSpaces>3624</CharactersWithSpaces>
  <Paragraphs>46</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2026-09-29T14:49:34Z</dcterms:created>
  <dc:creator>Yellow Sapphire Technologies Inc.</dc:creator>
  <dc:description>Version 1.0, 1 October 2026. Published by Yellow Sapphire Technologies Inc. under CC BY 4.0. doi:10.5281/zenodo.22986774</dc:description>
  <cp:keywords>AI governance, AI deployment, procurement, risk tiering, human oversight, data protection, monitoring</cp:keywords>
  <dc:language>en-GB</dc:language>
  <cp:lastModifiedBy>Yellow Sapphire Technologies Inc.</cp:lastModifiedBy>
  <dcterms:modified xsi:type="dcterms:W3CDTF">2026-09-29T14:49:34Z</dcterms:modified>
  <cp:revision>1</cp:revision>
  <dc:subject>An operating manual for institutions that buy, deploy, and run AI systems</dc:subject>
  <dc:title>Open AI Governance and Deployment Framework, Version 1.0. 7.2 Risk classification worksheet (from Module 2)</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I">
    <vt:lpwstr>10.5281/zenodo.22986774</vt:lpwstr>
  </property>
  <property fmtid="{D5CDD505-2E9C-101B-9397-08002B2CF9AE}" pid="3" name="Language">
    <vt:lpwstr>en-GB</vt:lpwstr>
  </property>
  <property fmtid="{D5CDD505-2E9C-101B-9397-08002B2CF9AE}" pid="4" name="Licence">
    <vt:lpwstr>CC BY 4.0</vt:lpwstr>
  </property>
  <property fmtid="{D5CDD505-2E9C-101B-9397-08002B2CF9AE}" pid="5" name="Publication date">
    <vt:lpwstr>2026-10-01</vt:lpwstr>
  </property>
  <property fmtid="{D5CDD505-2E9C-101B-9397-08002B2CF9AE}" pid="6" name="Publisher">
    <vt:lpwstr>Yellow Sapphire Technologies Inc.</vt:lpwstr>
  </property>
  <property fmtid="{D5CDD505-2E9C-101B-9397-08002B2CF9AE}" pid="7" name="Version">
    <vt:lpwstr>1.0</vt:lpwstr>
  </property>
</Properties>
</file>