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the-one-page-orientation-from-module-1"/>
      <w:r>
        <w:rPr/>
        <w:t>7.1 The one-page orientation (from Module 1)</w:t>
      </w:r>
    </w:p>
    <w:p>
      <w:pPr>
        <w:pStyle w:val="Boxtext"/>
        <w:rPr/>
      </w:pPr>
      <w:r>
        <w:rPr>
          <w:b/>
          <w:bCs/>
        </w:rPr>
        <w:t>Standalone artifact.</w:t>
      </w:r>
      <w:r>
        <w:rPr/>
        <w:t xml:space="preserve"> Open AI Governance and Deployment Framework, Version 1.0. Toolkit edition. Licence: CC BY 4.0. Purpose: a single page for a director, board member, minister, or executive whose institution is adopting this framework. It is designed to be sent ahead of the meeting where you ask for the four appointments at the bottom.</w:t>
      </w:r>
    </w:p>
    <w:p>
      <w:pPr>
        <w:pStyle w:val="Heading2"/>
        <w:rPr/>
      </w:pPr>
      <w:bookmarkStart w:id="1" w:name="X09f2437fe6f2c7a83b0e8e0e39b05d520dc2d38"/>
      <w:r>
        <w:rPr/>
        <w:t>AI governance for institutions that deploy: one page</w:t>
      </w:r>
    </w:p>
    <w:p>
      <w:pPr>
        <w:pStyle w:val="Normal"/>
        <w:rPr/>
      </w:pPr>
      <w:r>
        <w:rPr>
          <w:b/>
          <w:bCs/>
        </w:rPr>
        <w:t>The situation.</w:t>
      </w:r>
      <w:r>
        <w:rPr/>
        <w:t xml:space="preserve"> Our institution buys and runs AI systems; it does not build them. Almost all AI governance guidance is written for builders. This framework is an operating manual for our seat: what to demand from vendors, who is accountable internally, what to check before a system goes live, what to watch afterwards, and how to switch off.</w:t>
      </w:r>
    </w:p>
    <w:p>
      <w:pPr>
        <w:pStyle w:val="Normal"/>
        <w:rPr/>
      </w:pPr>
      <w:r>
        <w:rPr>
          <w:b/>
          <w:bCs/>
        </w:rPr>
        <w:t>The framework we are adopting.</w:t>
      </w:r>
      <w:r>
        <w:rPr/>
        <w:t xml:space="preserve"> The Open AI Governance and Deployment Framework (Version 1.0), a public document published under an open licence. It maps onto the EU AI Act, the NIST AI Risk Management Framework, ISO/IEC 42001, the OECD AI Principles, and the UNESCO Recommendation on the Ethics of AI, so work done under it is evidence of movement towards recognised standards, though the framework certifies compliance with none of them. It is not legal advice, and it prescribes where legal and specialist review is required.</w:t>
      </w:r>
    </w:p>
    <w:p>
      <w:pPr>
        <w:pStyle w:val="Normal"/>
        <w:rPr/>
      </w:pPr>
      <w:r>
        <w:rPr>
          <w:b/>
          <w:bCs/>
        </w:rPr>
        <w:t>The five commitments it runs on.</w:t>
      </w:r>
      <w:r>
        <w:rPr/>
        <w:br/>
        <w:t>1. Accountability names a person: every system has one named owner with the authority to stop it.</w:t>
        <w:br/>
        <w:t>2. Evidence comes before trust: no vendor claim without a document; no high-stakes go-live without a test on our own data.</w:t>
        <w:br/>
        <w:t>3. Oversight carries real authority: the humans reviewing AI outputs can override them, and have the training and time to do it.</w:t>
        <w:br/>
        <w:t>4. Watching continues after go-live: defined metrics, a defined reviewer, defined thresholds for action, and a channel for affected people to challenge a decision.</w:t>
        <w:br/>
        <w:t>5. We can always leave: every contract includes exit and data return; every system has a switch-off plan.</w:t>
      </w:r>
    </w:p>
    <w:p>
      <w:pPr>
        <w:pStyle w:val="Normal"/>
        <w:rPr/>
      </w:pPr>
      <w:r>
        <w:rPr>
          <w:b/>
          <w:bCs/>
        </w:rPr>
        <w:t>What this asks of leadership.</w:t>
      </w:r>
      <w:r>
        <w:rPr/>
        <w:br/>
        <w:t>1. Appoint four roles (existing staff hold them alongside their jobs, with the monthly time cost stated per role): a System Owner per AI system, an Operational Lead, a Data Steward, and an Independent Reviewer for go-live sign-offs.</w:t>
        <w:br/>
        <w:t>2. Require the risk classification worksheet for every AI use case, existing and proposed, including free tools.</w:t>
        <w:br/>
        <w:t>3. Require the procurement gate: no AI contract is signed until the vendor due diligence checklist passes for the system’s risk tier.</w:t>
        <w:br/>
        <w:t>4. Receive the monitoring summary: one page per month on every high-stakes system, from the System Owner.</w:t>
      </w:r>
    </w:p>
    <w:p>
      <w:pPr>
        <w:pStyle w:val="Normal"/>
        <w:rPr/>
      </w:pPr>
      <w:r>
        <w:rPr>
          <w:b/>
          <w:bCs/>
        </w:rPr>
        <w:t>What it costs.</w:t>
      </w:r>
      <w:r>
        <w:rPr/>
        <w:t xml:space="preserve"> Staff hours, stated per role in the framework, and paid specialist help at the points named in Module 1.4: legal review, data protection advice, security testing, adversarial testing, and domain review. What it prevents: buying systems that do not work on our population, contracts we cannot exit, silent degradation in service, and standing unprepared in front of a regulator, an auditor, or an affected person.</w:t>
      </w:r>
    </w:p>
    <w:p>
      <w:pPr>
        <w:pStyle w:val="Normal"/>
        <w:keepNext w:val="true"/>
        <w:rPr/>
      </w:pPr>
      <w:r>
        <w:rPr>
          <w:b/>
          <w:bCs/>
        </w:rPr>
        <w:t>Directive and designations.</w:t>
      </w:r>
      <w:r>
        <w:rPr/>
        <w:t xml:space="preserve"> By signing, leadership adopts this framework for the institution and mandates the thirty-day path (Module 7), including the instruction to departments to answer its first-week question.</w:t>
      </w:r>
    </w:p>
    <w:tbl>
      <w:tblPr>
        <w:tblStyle w:val="FrameworkTable"/>
        <w:tblW w:w="963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497"/>
        <w:gridCol w:w="2569"/>
        <w:gridCol w:w="2572"/>
      </w:tblGrid>
      <w:tr>
        <w:trPr>
          <w:tblHeader w:val="true"/>
          <w:cantSplit w:val="true"/>
        </w:trPr>
        <w:tc>
          <w:tcPr>
            <w:tcW w:w="449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56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257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4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for [system]</w:t>
            </w:r>
          </w:p>
        </w:tc>
        <w:tc>
          <w:tcPr>
            <w:tcW w:w="256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5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4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56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5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4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56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5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4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w:t>
            </w:r>
          </w:p>
        </w:tc>
        <w:tc>
          <w:tcPr>
            <w:tcW w:w="256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5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t>Authorised by (name, title, signature): ____________ Date: ____________</w:t>
      </w:r>
    </w:p>
    <w:p>
      <w:pPr>
        <w:pStyle w:val="Normal"/>
        <w:rPr/>
      </w:pPr>
      <w:r>
        <w:rPr>
          <w:i/>
          <w:iCs/>
        </w:rPr>
        <w:t>Prepared by: ____________ For: ____________ Date: ____________</w:t>
      </w:r>
    </w:p>
    <w:p>
      <w:pPr>
        <w:pStyle w:val="Normal"/>
        <w:widowControl/>
        <w:bidi w:val="0"/>
        <w:spacing w:lineRule="auto" w:line="259" w:before="0" w:after="100"/>
        <w:jc w:val="left"/>
        <w:rPr/>
      </w:pPr>
      <w:r>
        <w:rPr>
          <w:b/>
          <w:bCs/>
        </w:rPr>
        <w:t>Document control.</w:t>
      </w:r>
      <w:r>
        <w:rPr/>
        <w:t xml:space="preserve"> Document version: ____________ Prepared by: ____________ Last updated: ____________ Next review: ____________</w:t>
      </w:r>
      <w:bookmarkEnd w:id="0"/>
      <w:bookmarkEnd w:id="1"/>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1134" w:footer="567"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character" w:styleId="DefaultParagraphFont" w:default="1">
    <w:name w:val="Default Paragraph Font"/>
    <w:uiPriority w:val="1"/>
    <w:semiHidden/>
    <w:unhideWhenUsed/>
    <w:qFormat/>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576</Words>
  <Characters>3106</Characters>
  <CharactersWithSpaces>3661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2026-09-29T14:49:34Z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2026-09-29T14:49:34Z</dcterms:modified>
  <cp:revision>1</cp:revision>
  <dc:subject>An operating manual for institutions that buy, deploy, and run AI systems</dc:subject>
  <dc:title>Open AI Governance and Deployment Framework, Version 1.0. 7.1 The one-page orientation (from Module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