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6.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footer7.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header7.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Xe684852697b63ba2f6901cff380a94a250c1b44"/>
      <w:r>
        <w:rPr/>
        <w:t>Open AI Governance and Deployment Framework: Front and back matter</w:t>
      </w:r>
      <w:bookmarkEnd w:id="0"/>
    </w:p>
    <w:p>
      <w:pPr>
        <w:pStyle w:val="Heading1"/>
        <w:rPr/>
      </w:pPr>
      <w:bookmarkStart w:id="1" w:name="front-matter"/>
      <w:r>
        <w:rPr/>
        <w:t>Front matter</w:t>
      </w:r>
    </w:p>
    <w:p>
      <w:pPr>
        <w:pStyle w:val="Title"/>
        <w:rPr/>
      </w:pPr>
      <w:r>
        <w:rPr/>
        <w:t>Open AI Governance and Deployment Framework</w:t>
      </w:r>
    </w:p>
    <w:p>
      <w:pPr>
        <w:pStyle w:val="Subtitle"/>
        <w:rPr/>
      </w:pPr>
      <w:r>
        <w:rPr/>
        <w:t>An operating manual for institutions that buy, deploy, and run AI systems</w:t>
      </w:r>
    </w:p>
    <w:p>
      <w:pPr>
        <w:pStyle w:val="Coverversion"/>
        <w:rPr/>
      </w:pPr>
      <w:r>
        <w:rPr/>
        <w:t>Version 1.0</w:t>
      </w:r>
    </w:p>
    <w:p>
      <w:pPr>
        <w:pStyle w:val="Coverdate"/>
        <w:rPr/>
      </w:pPr>
      <w:r>
        <w:rPr/>
        <w:t>1 October 2026</w:t>
      </w:r>
    </w:p>
    <w:p>
      <w:pPr>
        <w:pStyle w:val="Coverdetails"/>
        <w:rPr/>
      </w:pPr>
      <w:hyperlink r:id="rId2">
        <w:r>
          <w:rPr>
            <w:rStyle w:val="Hyperlink"/>
          </w:rPr>
          <w:t>doi:10.5281/zenodo.22986774</w:t>
        </w:r>
      </w:hyperlink>
    </w:p>
    <w:p>
      <w:pPr>
        <w:pStyle w:val="Coverdetails"/>
        <w:rPr/>
      </w:pPr>
      <w:r>
        <w:rPr/>
        <w:t>Published by Yellow Sapphire Technologies Inc. (YS Tech), a New Brunswick corporation with its registered office in Moncton, Canada, and offices in Dubai, Doha, London, and New Delhi.</w:t>
      </w:r>
    </w:p>
    <w:p>
      <w:pPr>
        <w:pStyle w:val="Coverdetails"/>
        <w:rPr/>
      </w:pPr>
      <w:r>
        <w:rPr/>
        <w:t>Published under the Creative Commons Attribution 4.0 International licence (CC BY 4.0). You are free to use, adapt, translate, and redistribute this document, provided you give attribution. Details in the back matter.</w:t>
      </w:r>
    </w:p>
    <w:p>
      <w:pPr>
        <w:pStyle w:val="Coverdetails"/>
        <w:rPr/>
      </w:pPr>
      <w:r>
        <w:rPr/>
        <w:t>This framework is guidance and it is not legal advice. It was not endorsed, approved, or authored by the United Nations. Full disclaimers in the back matter.</w:t>
      </w:r>
    </w:p>
    <w:p>
      <w:pPr>
        <w:pStyle w:val="Heading2"/>
        <w:pageBreakBefore/>
        <w:rPr/>
      </w:pPr>
      <w:bookmarkStart w:id="2" w:name="foreword"/>
      <w:r>
        <w:rPr/>
        <w:t>Foreword</w:t>
      </w:r>
    </w:p>
    <w:p>
      <w:pPr>
        <w:pStyle w:val="Normal"/>
        <w:rPr/>
      </w:pPr>
      <w:r>
        <w:rPr/>
        <w:t>Most of what has been written about governing artificial intelligence is addressed to the organisations that build AI models. Almost none of it till now is addressed to the hospital, the ministry, the utility, the bank, or the school system that buys an AI system, installs it, and runs it inside decisions that affect real people. Yet that is where most of the world will meet AI: through institutions that deploy it, staffed by capable people who likely have no budget for an AI safety team, no model evaluation function, often no in-house counsel, and no time.</w:t>
      </w:r>
    </w:p>
    <w:p>
      <w:pPr>
        <w:pStyle w:val="Normal"/>
        <w:rPr/>
      </w:pPr>
      <w:r>
        <w:rPr/>
        <w:t>This framework is written for those people, from their seat. It is an operating manual. The principles are set out in international instruments. What an overstretched technology or operations lead needs is the translation layer; the questions to put in a tender, the clauses that make a vendor’s claims enforceable, the names on the sign-off, the numbers on the monitoring plan, and the route by which an affected person can say the system got it wrong.</w:t>
      </w:r>
    </w:p>
    <w:p>
      <w:pPr>
        <w:pStyle w:val="Normal"/>
        <w:rPr/>
      </w:pPr>
      <w:r>
        <w:rPr/>
        <w:t>In 2026, Yellow Sapphire Technologies was invited to contribute to the United Nations Global Dialogue on AI Governance, and we registered this framework as a public commitment after the Dialogue. This document is the delivery of that commitment. It is published free of charge, under an open licence, for any government, enterprise, or civil society organisation that can use it.</w:t>
      </w:r>
    </w:p>
    <w:p>
      <w:pPr>
        <w:pStyle w:val="Normal"/>
        <w:rPr/>
      </w:pPr>
      <w:r>
        <w:rPr/>
        <w:t>Each recommendation is written to be specific enough to act on, and each module ends with an artifact that an institution can adapt and put to work. Additionally, we want to acknowledge we don’t know what we don’t know. The framework says what it cannot do, where national law governs, and when an institution needs specialist help. It draws on documented cases and established standards, and it maps onto the recognised international instruments.</w:t>
      </w:r>
    </w:p>
    <w:p>
      <w:pPr>
        <w:pStyle w:val="Normal"/>
        <w:rPr/>
      </w:pPr>
      <w:r>
        <w:rPr/>
        <w:t>Use it. Adapt it to your institution, translate it into your language, localise it to your law, and improve it. The licence permits all of this. Version 1.0 is just a beginning; I will personally oversee the feedback channel so we can improve this framework further. Its purpose is to help an institution refuse a bad contract, catch a silent failure, and hear the person its system wronged.</w:t>
      </w:r>
    </w:p>
    <w:p>
      <w:pPr>
        <w:pStyle w:val="Normal"/>
        <w:rPr/>
      </w:pPr>
      <w:r>
        <w:rPr>
          <w:b/>
          <w:bCs/>
        </w:rPr>
        <w:t>Anuuj Chauhan</w:t>
      </w:r>
      <w:r>
        <w:rPr/>
        <w:br/>
        <w:t>Co-Founder and CEO, Yellow Sapphire Technologies</w:t>
        <w:br/>
        <w:t>Delhi, 1 October 2026</w:t>
      </w:r>
      <w:bookmarkEnd w:id="2"/>
    </w:p>
    <w:p>
      <w:pPr>
        <w:pStyle w:val="Heading2"/>
        <w:pageBreakBefore/>
        <w:rPr/>
      </w:pPr>
      <w:bookmarkStart w:id="3" w:name="how-to-use-this-framework"/>
      <w:r>
        <w:rPr/>
        <w:t>How to use this framework</w:t>
      </w:r>
    </w:p>
    <w:p>
      <w:pPr>
        <w:pStyle w:val="Normal"/>
        <w:rPr/>
      </w:pPr>
      <w:r>
        <w:rPr>
          <w:b/>
          <w:bCs/>
        </w:rPr>
        <w:t>Who this is for.</w:t>
      </w:r>
      <w:r>
        <w:rPr/>
        <w:t xml:space="preserve"> A technology or operations lead inside an institution adopting AI: a public hospital, a ministry, a municipal utility, a regional bank, a tax authority, a school system, a mid-sized enterprise. It assumes no AI expertise, no compliance department, and no budget for consultants. It covers systems you buy and run, both predictive (systems that score, rank, classify, or forecast) and generative (systems that produce text, images, or code). Systems authorised to act on their own (agentic systems) are covered through Module 2’s autonomy rules, which treat an adverse action taken without prior human review as a matter for escalation.</w:t>
      </w:r>
    </w:p>
    <w:p>
      <w:pPr>
        <w:pStyle w:val="Normal"/>
        <w:rPr/>
      </w:pPr>
      <w:r>
        <w:rPr>
          <w:b/>
          <w:bCs/>
        </w:rPr>
        <w:t>The structure.</w:t>
      </w:r>
      <w:r>
        <w:rPr/>
        <w:t xml:space="preserve"> Seven modules. Module 1 is the fifteen-minute on-ramp: what the framework commits to and how it maps to recognised standards. Module 2 classifies each AI use case into a risk tier in an afternoon; the tier doses everything after it. Module 3 names the four governance roles and makes human oversight real. Module 4, the largest, is procurement: what to demand, ask, and sign before a vendor contract. Module 5 settles data, security, and sovereignty before anything leaves the building. Module 6 runs the deployment lifecycle: validation on your own data, phased rollout, monitoring, appeals from affected people, incidents, vendor updates, and switch-off. Module 7 consolidates every artifact and is where the work starts.</w:t>
      </w:r>
    </w:p>
    <w:p>
      <w:pPr>
        <w:pStyle w:val="Normal"/>
        <w:rPr/>
      </w:pPr>
      <w:r>
        <w:rPr>
          <w:b/>
          <w:bCs/>
        </w:rPr>
        <w:t>Reading paths.</w:t>
      </w:r>
    </w:p>
    <w:p>
      <w:pPr>
        <w:pStyle w:val="ListParagraph"/>
        <w:numPr>
          <w:ilvl w:val="0"/>
          <w:numId w:val="1"/>
        </w:numPr>
        <w:rPr/>
      </w:pPr>
      <w:r>
        <w:rPr>
          <w:b/>
          <w:bCs/>
        </w:rPr>
        <w:t>A purchase is live this month:</w:t>
      </w:r>
      <w:r>
        <w:rPr/>
        <w:t xml:space="preserve"> read Module 2, then Module 4. Use the risk worksheet, the due diligence checklist, and the clause library as you go.</w:t>
      </w:r>
    </w:p>
    <w:p>
      <w:pPr>
        <w:pStyle w:val="ListParagraph"/>
        <w:numPr>
          <w:ilvl w:val="0"/>
          <w:numId w:val="1"/>
        </w:numPr>
        <w:rPr/>
      </w:pPr>
      <w:r>
        <w:rPr>
          <w:b/>
          <w:bCs/>
        </w:rPr>
        <w:t>Systems are already running with no governance around them:</w:t>
      </w:r>
      <w:r>
        <w:rPr/>
        <w:t xml:space="preserve"> read Module 2, then Module 3, then Module 6 sections 6.4 and 6.5. Classify, name owners, start monitoring and the appeal channel.</w:t>
      </w:r>
    </w:p>
    <w:p>
      <w:pPr>
        <w:pStyle w:val="ListParagraph"/>
        <w:numPr>
          <w:ilvl w:val="0"/>
          <w:numId w:val="1"/>
        </w:numPr>
        <w:rPr/>
      </w:pPr>
      <w:r>
        <w:rPr>
          <w:b/>
          <w:bCs/>
        </w:rPr>
        <w:t>Building from zero with time to plan:</w:t>
      </w:r>
      <w:r>
        <w:rPr/>
        <w:t xml:space="preserve"> read the modules in order, then run the thirty-day path.</w:t>
      </w:r>
    </w:p>
    <w:p>
      <w:pPr>
        <w:pStyle w:val="Normal"/>
        <w:rPr/>
      </w:pPr>
      <w:r>
        <w:rPr>
          <w:b/>
          <w:bCs/>
        </w:rPr>
        <w:t>The thirty-day path (Module 7.0).</w:t>
      </w:r>
      <w:r>
        <w:rPr/>
        <w:t xml:space="preserve"> Week 1: find every AI use in the institution, including free tools, and give each a row in the system register. Week 2: classify every row with the risk worksheet, each classification confirmed by a second person. Week 3: take the one-page orientation to leadership and get owners named for every classified system, with all four roles for the high-stakes ones. Week 4: put the first controls on the riskiest live system: a monitoring plan, the published appeal notice, and a contract check against the clause library. Day 30: a one-page status to leadership. The full path, with its outputs and its limits, is section 7.0.</w:t>
      </w:r>
    </w:p>
    <w:p>
      <w:pPr>
        <w:pStyle w:val="Normal"/>
        <w:rPr/>
      </w:pPr>
      <w:r>
        <w:rPr>
          <w:b/>
          <w:bCs/>
        </w:rPr>
        <w:t>Conventions.</w:t>
      </w:r>
      <w:r>
        <w:rPr/>
        <w:t xml:space="preserve"> Technical terms are defined where first used and collected in the glossary at the back. “Check locally” marks every point where national law governs and tells you what to ask. Bracketed items in artifacts are entries you must fill in. Operational numbers in this framework (hours, durations, sample sizes, thresholds, clocks) are </w:t>
      </w:r>
      <w:r>
        <w:rPr>
          <w:b/>
          <w:bCs/>
        </w:rPr>
        <w:t>framework defaults</w:t>
      </w:r>
      <w:r>
        <w:rPr/>
        <w:t xml:space="preserve"> unless a law or cited source is named beside them: recommended starting values, chosen for workability, that your institution adopts, adjusts, and records. They are design choices of this framework rather than empirical findings or legal requirements. “Monday morning” means the start of your working week, whichever day that is. Every artifact, once adopted, carries a document control block: version, prepared by, last updated, next review. All artifacts are also published as separate editable files at </w:t>
      </w:r>
      <w:hyperlink r:id="rId3">
        <w:r>
          <w:rPr>
            <w:rStyle w:val="Hyperlink"/>
          </w:rPr>
          <w:t>ystech.io/ai-governance</w:t>
        </w:r>
      </w:hyperlink>
      <w:r>
        <w:rPr/>
        <w:t>. The points where paid legal or specialist review is required are named in the text, and there are few of them.</w:t>
      </w:r>
      <w:bookmarkEnd w:id="3"/>
    </w:p>
    <w:p>
      <w:pPr>
        <w:pStyle w:val="Heading2"/>
        <w:pageBreakBefore/>
        <w:rPr/>
      </w:pPr>
      <w:bookmarkStart w:id="4" w:name="executive-summary"/>
      <w:r>
        <w:rPr/>
        <w:t>Executive summary</w:t>
      </w:r>
    </w:p>
    <w:p>
      <w:pPr>
        <w:pStyle w:val="Normal"/>
        <w:rPr/>
      </w:pPr>
      <w:r>
        <w:rPr>
          <w:b/>
          <w:bCs/>
        </w:rPr>
        <w:t>The argument.</w:t>
      </w:r>
      <w:r>
        <w:rPr/>
        <w:t xml:space="preserve"> AI governance is being written for the organisations that build AI. It will be lived by the organisations that deploy it. Nearly all published guidance addresses the developers of models, with their evaluation teams and compliance departments. Almost none of it addresses the institution that buys a system, installs it, and runs it inside decisions about care, money, benefits, education, or essential services. That institution typically has a procurement office, an IT team at capacity, a vendor’s sales deck, and a deadline. The gap is visible in the instruments themselves: most of the EU AI Act’s obligations attach to providers of systems. This framework fills that gap: an operational manual for adopting and running AI responsibly, written for the deployer’s seat.</w:t>
      </w:r>
    </w:p>
    <w:p>
      <w:pPr>
        <w:pStyle w:val="Normal"/>
        <w:rPr/>
      </w:pPr>
      <w:r>
        <w:rPr>
          <w:b/>
          <w:bCs/>
        </w:rPr>
        <w:t>Why it matters.</w:t>
      </w:r>
      <w:r>
        <w:rPr/>
        <w:t xml:space="preserve"> A sepsis prediction tool deployed at hundreds of hospitals on claimed accuracy of 0.76 to 0.83 measured 0.63 when one buyer tested it on its own patients, missing two thirds of sepsis cases; a question in the tender about the population behind those figures, and a test on the buyer’s own records before go-live, would have exposed the gap. A widely used care management algorithm systematically underrated the illness of Black patients because it predicted healthcare spending rather than need; correcting it would have raised the share of Black patients identified for extra help from 17.7 to 46.5 percent. And a national tax administration ran a fraud scoring model over benefit claims with governance suited to an internal tool; roughly 26,000 parents were wrongly accused, and the government resigned over it.</w:t>
      </w:r>
    </w:p>
    <w:p>
      <w:pPr>
        <w:pStyle w:val="Normal"/>
        <w:rPr/>
      </w:pPr>
      <w:r>
        <w:rPr>
          <w:b/>
          <w:bCs/>
        </w:rPr>
        <w:t>What the framework commits to.</w:t>
      </w:r>
      <w:r>
        <w:rPr/>
        <w:t xml:space="preserve"> Five operating rules, each turned into checklists, clauses, and signatures: accountability names a person; evidence comes before trust; oversight carries real authority; watching continues after go-live; and you can always leave.</w:t>
      </w:r>
    </w:p>
    <w:p>
      <w:pPr>
        <w:pStyle w:val="Normal"/>
        <w:rPr/>
      </w:pPr>
      <w:r>
        <w:rPr>
          <w:b/>
          <w:bCs/>
        </w:rPr>
        <w:t>How it works.</w:t>
      </w:r>
      <w:r>
        <w:rPr/>
        <w:t xml:space="preserve"> Every AI use case is classified into a risk tier in an afternoon, and the tier sets the governance dose. Four named roles, held by existing staff alongside their jobs, carry accountability through four sign-off gates. Procurement is treated as the point of maximum power: the framework specifies the documents to demand, the sixteen questions that expose a weak vendor, the red flags that stop a purchase, and a plain-language library of fourteen contract clauses. Data questions are settled before anything leaves the building. Every high-stakes system is tested on the institution’s own population before go-live, rolled out in phases, monitored against thresholds written in advance, and revalidated yearly. Affected people get a published route to challenge decisions, with deadlines. Vendor model updates are re-tested against a frozen test set before acceptance. Every system has an exit. A consolidated toolkit of eleven artifacts, also available as editable files, makes all of it liftable, and a thirty-day path takes one person from an unclassified estate to a signed register with named owners.</w:t>
      </w:r>
    </w:p>
    <w:p>
      <w:pPr>
        <w:pStyle w:val="Normal"/>
        <w:rPr/>
      </w:pPr>
      <w:r>
        <w:rPr>
          <w:b/>
          <w:bCs/>
        </w:rPr>
        <w:t>What it asks of leadership.</w:t>
      </w:r>
      <w:r>
        <w:rPr/>
        <w:t xml:space="preserve"> Its first ask is one line of authority: a written directive adopting the framework and mandating its thirty-day path, because everything below flows from that mandate. Then four things: appoint the four roles (about 14 hours per month across them for one high-stakes system, a framework default); require the risk worksheet for every AI use, including free tools; require the procurement gate before any AI contract is signed; and receive a one-page monitoring summary monthly. What it prevents: buying systems that do not work on your population, contracts you cannot exit, silent degradation in service, and standing unprepared before a regulator, an auditor, or an affected person.</w:t>
      </w:r>
    </w:p>
    <w:p>
      <w:pPr>
        <w:pStyle w:val="Normal"/>
        <w:rPr/>
      </w:pPr>
      <w:r>
        <w:rPr>
          <w:b/>
          <w:bCs/>
        </w:rPr>
        <w:t>What it is not.</w:t>
      </w:r>
      <w:r>
        <w:rPr/>
        <w:t xml:space="preserve"> It restates no principles and competes with no standard. It maps visibly onto the EU AI Act, the NIST AI Risk Management Framework, ISO/IEC 42001, the OECD AI Principles, and the UNESCO Recommendation on the Ethics of AI, so work done under it is evidence of movement towards recognised standards, and where any law applies, the law prevails. It states what it cannot do and names the few points where an institution must buy specialist help.</w:t>
      </w:r>
    </w:p>
    <w:p>
      <w:p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304" w:right="1304" w:gutter="0" w:header="709" w:top="1418" w:footer="709" w:bottom="1418"/>
          <w:pgNumType w:fmt="decimal"/>
          <w:formProt w:val="false"/>
          <w:textDirection w:val="lrTb"/>
          <w:docGrid w:type="default" w:linePitch="360" w:charSpace="8192"/>
        </w:sectPr>
        <w:pStyle w:val="Normal"/>
        <w:rPr/>
      </w:pPr>
      <w:r>
        <w:rPr>
          <w:b/>
          <w:bCs/>
        </w:rPr>
        <w:t>Provenance and licence.</w:t>
      </w:r>
      <w:r>
        <w:rPr/>
        <w:t xml:space="preserve"> Written and published by Yellow Sapphire Technologies Inc. as the delivery of a commitment registered through the Partnerships Hub of the United Nations Global Dialogue on AI Governance; it was not endorsed, approved, or authored by the United Nations. Published free of charge under CC BY 4.0: any institution may use, adapt, translate, and localise it, with attribution.</w:t>
      </w:r>
      <w:bookmarkEnd w:id="1"/>
      <w:bookmarkEnd w:id="4"/>
    </w:p>
    <w:p>
      <w:pPr>
        <w:pStyle w:val="Heading1"/>
        <w:rPr/>
      </w:pPr>
      <w:bookmarkStart w:id="5" w:name="back-matter"/>
      <w:r>
        <w:rPr/>
        <w:t>Back matter</w:t>
      </w:r>
    </w:p>
    <w:p>
      <w:pPr>
        <w:pStyle w:val="Heading2"/>
        <w:rPr/>
      </w:pPr>
      <w:bookmarkStart w:id="6" w:name="Xb8061f7fe81a29175494974f0ad3e53352533e2"/>
      <w:r>
        <w:rPr/>
        <w:t>Annex A: Full mapping to external standards</w:t>
      </w:r>
    </w:p>
    <w:p>
      <w:pPr>
        <w:pStyle w:val="Normal"/>
        <w:keepNext w:val="true"/>
        <w:rPr/>
      </w:pPr>
      <w:r>
        <w:rPr/>
        <w:t>The concept-level mappings in each module, consolidated, with the specific references verified during drafting. The EU AI Act’s obligations apply in phases, and readers should confirm current status; and this table shows direction of travel rather than certifying compliance with anything.</w:t>
      </w:r>
    </w:p>
    <w:tbl>
      <w:tblPr>
        <w:tblStyle w:val="FrameworkTable"/>
        <w:tblW w:w="14002"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345"/>
        <w:gridCol w:w="5395"/>
        <w:gridCol w:w="1764"/>
        <w:gridCol w:w="2609"/>
        <w:gridCol w:w="2889"/>
      </w:tblGrid>
      <w:tr>
        <w:trPr>
          <w:tblHeader w:val="true"/>
          <w:cantSplit w:val="true"/>
        </w:trPr>
        <w:tc>
          <w:tcPr>
            <w:tcW w:w="13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w:t>
            </w:r>
          </w:p>
        </w:tc>
        <w:tc>
          <w:tcPr>
            <w:tcW w:w="539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EU AI Act (Regulation (EU) 2024/1689)</w:t>
            </w:r>
          </w:p>
        </w:tc>
        <w:tc>
          <w:tcPr>
            <w:tcW w:w="176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NIST AI RMF 1.0 (2023)</w:t>
            </w:r>
          </w:p>
        </w:tc>
        <w:tc>
          <w:tcPr>
            <w:tcW w:w="260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42001:2023</w:t>
            </w:r>
          </w:p>
        </w:tc>
        <w:tc>
          <w:tcPr>
            <w:tcW w:w="288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OECD AI Principles (2019, updated 2024) and UNESCO Recommendation (2021)</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Foundations</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Risk-based architecture of the Act as a whole; deployer obligations in Article 26</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 functions: Govern, Map, Measure, Manage</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management system as a whole (clauses 4 to 10: context, leadership, planning, support, operation, performance evaluation, improvement)</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values foundation the framework operationalises</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Risk tiering</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categories; prohibited practices in Article 5; transparency duties in Article 50, applying from 2 August 2026 (telling people when they deal with an AI system, an emotion recognition system, or biometric categorisation; marking generated content; disclosing deepfakes, and AI-generated text published to inform the public on matters of public interest unless it has had human review and someone holds editorial responsibility)</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Map function: context and risk categorisation</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assessment expectations within the management system</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Proportionality: governance effort scaled to the risk of harm to people (the tier system)</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 Roles and oversight</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14 (design for effective human oversight: understand capacities and limitations, interpret output, decide not to use, intervene or interrupt); Article 26 (deployers assign oversight to persons with the necessary competence, training, and authority)</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function: accountability, roles, culture</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Leadership and roles clauses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UNESCO’s human oversight and determination</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Procurement</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11 (technical documentation) and Article 13 (instructions for use) as the provider-side documents a buyer demands; Article 26 deployer duties made performable by contract</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and Map: third-party risk</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third-party controls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Transparency and accountability, made contractual</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5: Data, security, sovereignty</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10 (data and data governance for high-risk systems); national data protection law alongside and prevailing</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applied to data and security risk</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management and impact assessment expectations; ISO/IEC 27001:2022 as the assumed general security baseline</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Privacy; safety and security</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6: Lifecycle</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Article 26(5): deployers monitor operation on the basis of the instructions for use, and inform the provider and relevant authorities of serious incidents</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 and Manage: test, monitor, respond, improve</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performance evaluation, improvement, and change management clauses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Safety and accountability through the lifecycle; redress themes</w:t>
            </w:r>
          </w:p>
        </w:tc>
      </w:tr>
      <w:tr>
        <w:trPr>
          <w:cantSplit w:val="true"/>
        </w:trPr>
        <w:tc>
          <w:tcPr>
            <w:tcW w:w="1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 Toolkit</w:t>
            </w:r>
          </w:p>
        </w:tc>
        <w:tc>
          <w:tcPr>
            <w:tcW w:w="539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completed artifacts as the working evidence of the duties above</w:t>
            </w:r>
          </w:p>
        </w:tc>
        <w:tc>
          <w:tcPr>
            <w:tcW w:w="17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four functions as filled-in documents</w:t>
            </w:r>
          </w:p>
        </w:tc>
        <w:tc>
          <w:tcPr>
            <w:tcW w:w="260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records the management system requires</w:t>
            </w:r>
          </w:p>
        </w:tc>
        <w:tc>
          <w:tcPr>
            <w:tcW w:w="28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Documented evidence that the values were applied to each system, before and after go-live</w:t>
            </w:r>
          </w:p>
        </w:tc>
      </w:tr>
    </w:tbl>
    <w:p>
      <w:pPr>
        <w:sectPr>
          <w:headerReference w:type="default" r:id="rId10"/>
          <w:headerReference w:type="first" r:id="rId11"/>
          <w:footerReference w:type="default" r:id="rId12"/>
          <w:footerReference w:type="first" r:id="rId13"/>
          <w:type w:val="nextPage"/>
          <w:pgSz w:orient="landscape" w:w="16838" w:h="11906"/>
          <w:pgMar w:left="1418" w:right="1418" w:gutter="0" w:header="709" w:top="1304" w:footer="709" w:bottom="1304"/>
          <w:pgNumType w:fmt="decimal"/>
          <w:formProt w:val="false"/>
          <w:textDirection w:val="lrTb"/>
          <w:docGrid w:type="default" w:linePitch="360" w:charSpace="8192"/>
        </w:sectPr>
        <w:pStyle w:val="Normal"/>
        <w:spacing w:before="160" w:after="100"/>
        <w:rPr/>
      </w:pPr>
      <w:r>
        <w:rPr>
          <w:b/>
          <w:bCs/>
        </w:rPr>
        <w:t>Related instruments referenced in the text (check locally whether they apply to you):</w:t>
      </w:r>
      <w:r>
        <w:rPr/>
        <w:t xml:space="preserve"> the GDPR (Regulation (EU) 2016/679): Article 22 (right not to be subject to solely automated decisions with legal or similarly significant effects, with exceptions), Article 33 (breach notification to the supervisory authority within 72 hours), Recital 26 (pseudonymised data is personal data). These are cited as examples of a family of national laws; your own jurisdiction’s instruments govern.</w:t>
      </w:r>
      <w:bookmarkEnd w:id="6"/>
    </w:p>
    <w:p>
      <w:pPr>
        <w:pStyle w:val="Heading2"/>
        <w:rPr/>
      </w:pPr>
      <w:bookmarkStart w:id="7" w:name="annex-b-glossary"/>
      <w:r>
        <w:rPr/>
        <w:t>Annex B: Glossary</w:t>
      </w:r>
    </w:p>
    <w:p>
      <w:pPr>
        <w:pStyle w:val="Normal"/>
        <w:rPr/>
      </w:pPr>
      <w:r>
        <w:rPr/>
        <w:t>Plain-language definitions of technical terms used in this framework, alphabetically.</w:t>
      </w:r>
    </w:p>
    <w:p>
      <w:pPr>
        <w:pStyle w:val="ListParagraph"/>
        <w:numPr>
          <w:ilvl w:val="0"/>
          <w:numId w:val="6"/>
        </w:numPr>
        <w:rPr/>
      </w:pPr>
      <w:r>
        <w:rPr>
          <w:b/>
          <w:bCs/>
        </w:rPr>
        <w:t>Acceptable-use note:</w:t>
      </w:r>
      <w:r>
        <w:rPr/>
        <w:t xml:space="preserve"> a one-paragraph statement of what a general-purpose tool may and may not be used for, shown to every user at account creation and first login.</w:t>
      </w:r>
    </w:p>
    <w:p>
      <w:pPr>
        <w:pStyle w:val="ListParagraph"/>
        <w:numPr>
          <w:ilvl w:val="0"/>
          <w:numId w:val="7"/>
        </w:numPr>
        <w:rPr/>
      </w:pPr>
      <w:r>
        <w:rPr>
          <w:b/>
          <w:bCs/>
        </w:rPr>
        <w:t>Acceptance testing:</w:t>
      </w:r>
      <w:r>
        <w:rPr/>
        <w:t xml:space="preserve"> testing a system on your institution’s own data, against criteria fixed in the contract before testing, with payment and go-live depending on the result.</w:t>
      </w:r>
    </w:p>
    <w:p>
      <w:pPr>
        <w:pStyle w:val="ListParagraph"/>
        <w:numPr>
          <w:ilvl w:val="0"/>
          <w:numId w:val="8"/>
        </w:numPr>
        <w:rPr/>
      </w:pPr>
      <w:r>
        <w:rPr>
          <w:b/>
          <w:bCs/>
        </w:rPr>
        <w:t>Agentic system:</w:t>
      </w:r>
      <w:r>
        <w:rPr/>
        <w:t xml:space="preserve"> an AI system authorised to take actions on the deployer’s behalf (executing transactions, sending messages, changing records) rather than only producing outputs for a human to act on. Handled in this framework through the autonomy rules in Module 2.</w:t>
      </w:r>
    </w:p>
    <w:p>
      <w:pPr>
        <w:pStyle w:val="ListParagraph"/>
        <w:numPr>
          <w:ilvl w:val="0"/>
          <w:numId w:val="9"/>
        </w:numPr>
        <w:rPr/>
      </w:pPr>
      <w:r>
        <w:rPr>
          <w:b/>
          <w:bCs/>
        </w:rPr>
        <w:t>AI system:</w:t>
      </w:r>
      <w:r>
        <w:rPr/>
        <w:t xml:space="preserve"> software that produces scores, rankings, classifications, forecasts, or content by methods learned from data rather than rules written by hand. This framework covers predictive and generative kinds.</w:t>
      </w:r>
    </w:p>
    <w:p>
      <w:pPr>
        <w:pStyle w:val="ListParagraph"/>
        <w:numPr>
          <w:ilvl w:val="0"/>
          <w:numId w:val="10"/>
        </w:numPr>
        <w:rPr/>
      </w:pPr>
      <w:r>
        <w:rPr>
          <w:b/>
          <w:bCs/>
        </w:rPr>
        <w:t>Anonymisation:</w:t>
      </w:r>
      <w:r>
        <w:rPr/>
        <w:t xml:space="preserve"> processing intended to make re-identification of people in data impossible. Hard for rich individual-level records; treat vendor claims of it as claims requiring the method in writing.</w:t>
      </w:r>
    </w:p>
    <w:p>
      <w:pPr>
        <w:pStyle w:val="ListParagraph"/>
        <w:numPr>
          <w:ilvl w:val="0"/>
          <w:numId w:val="11"/>
        </w:numPr>
        <w:rPr/>
      </w:pPr>
      <w:r>
        <w:rPr>
          <w:b/>
          <w:bCs/>
        </w:rPr>
        <w:t>AUC (area under the curve):</w:t>
      </w:r>
      <w:r>
        <w:rPr/>
        <w:t xml:space="preserve"> a standard accuracy score for prediction systems, where 1.0 is perfect and 0.5 is a coin flip.</w:t>
      </w:r>
    </w:p>
    <w:p>
      <w:pPr>
        <w:pStyle w:val="ListParagraph"/>
        <w:numPr>
          <w:ilvl w:val="0"/>
          <w:numId w:val="12"/>
        </w:numPr>
        <w:rPr/>
      </w:pPr>
      <w:r>
        <w:rPr>
          <w:b/>
          <w:bCs/>
        </w:rPr>
        <w:t>Audit log:</w:t>
      </w:r>
      <w:r>
        <w:rPr/>
        <w:t xml:space="preserve"> the system’s own record of what happened: inputs, outputs, time, model version, and requesting user.</w:t>
      </w:r>
    </w:p>
    <w:p>
      <w:pPr>
        <w:pStyle w:val="ListParagraph"/>
        <w:numPr>
          <w:ilvl w:val="0"/>
          <w:numId w:val="13"/>
        </w:numPr>
        <w:rPr/>
      </w:pPr>
      <w:r>
        <w:rPr>
          <w:b/>
          <w:bCs/>
        </w:rPr>
        <w:t>Audit rights:</w:t>
      </w:r>
      <w:r>
        <w:rPr/>
        <w:t xml:space="preserve"> the contractual right to inspect the vendor’s compliance, logs, and documentation, directly or through an appointed third party.</w:t>
      </w:r>
    </w:p>
    <w:p>
      <w:pPr>
        <w:pStyle w:val="ListParagraph"/>
        <w:numPr>
          <w:ilvl w:val="0"/>
          <w:numId w:val="14"/>
        </w:numPr>
        <w:rPr/>
      </w:pPr>
      <w:r>
        <w:rPr>
          <w:b/>
          <w:bCs/>
        </w:rPr>
        <w:t>Automation bias:</w:t>
      </w:r>
      <w:r>
        <w:rPr/>
        <w:t xml:space="preserve"> the human tendency to treat an automated cue as a substitute for looking at the evidence oneself; produces omission errors and commission errors.</w:t>
      </w:r>
    </w:p>
    <w:p>
      <w:pPr>
        <w:pStyle w:val="ListParagraph"/>
        <w:numPr>
          <w:ilvl w:val="0"/>
          <w:numId w:val="15"/>
        </w:numPr>
        <w:rPr/>
      </w:pPr>
      <w:r>
        <w:rPr>
          <w:b/>
          <w:bCs/>
        </w:rPr>
        <w:t>Canary record:</w:t>
      </w:r>
      <w:r>
        <w:rPr/>
        <w:t xml:space="preserve"> a fabricated, harmless record planted in data to test whether information leaks where it should not.</w:t>
      </w:r>
    </w:p>
    <w:p>
      <w:pPr>
        <w:pStyle w:val="ListParagraph"/>
        <w:numPr>
          <w:ilvl w:val="0"/>
          <w:numId w:val="16"/>
        </w:numPr>
        <w:rPr/>
      </w:pPr>
      <w:r>
        <w:rPr>
          <w:b/>
          <w:bCs/>
        </w:rPr>
        <w:t>Changelog:</w:t>
      </w:r>
      <w:r>
        <w:rPr/>
        <w:t xml:space="preserve"> a written list of what changed.</w:t>
      </w:r>
    </w:p>
    <w:p>
      <w:pPr>
        <w:pStyle w:val="ListParagraph"/>
        <w:numPr>
          <w:ilvl w:val="0"/>
          <w:numId w:val="17"/>
        </w:numPr>
        <w:rPr/>
      </w:pPr>
      <w:r>
        <w:rPr>
          <w:b/>
          <w:bCs/>
        </w:rPr>
        <w:t>Commission error:</w:t>
      </w:r>
      <w:r>
        <w:rPr/>
        <w:t xml:space="preserve"> following a system’s output even when available information contradicts it.</w:t>
      </w:r>
    </w:p>
    <w:p>
      <w:pPr>
        <w:pStyle w:val="ListParagraph"/>
        <w:numPr>
          <w:ilvl w:val="0"/>
          <w:numId w:val="18"/>
        </w:numPr>
        <w:rPr/>
      </w:pPr>
      <w:r>
        <w:rPr>
          <w:b/>
          <w:bCs/>
        </w:rPr>
        <w:t>Data Steward:</w:t>
      </w:r>
      <w:r>
        <w:rPr/>
        <w:t xml:space="preserve"> the named role controlling what data a system receives, produces, and sends onward.</w:t>
      </w:r>
    </w:p>
    <w:p>
      <w:pPr>
        <w:pStyle w:val="ListParagraph"/>
        <w:numPr>
          <w:ilvl w:val="0"/>
          <w:numId w:val="19"/>
        </w:numPr>
        <w:rPr/>
      </w:pPr>
      <w:r>
        <w:rPr>
          <w:b/>
          <w:bCs/>
        </w:rPr>
        <w:t>Decommissioning:</w:t>
      </w:r>
      <w:r>
        <w:rPr/>
        <w:t xml:space="preserve"> the ordered shutdown of a system: fallback first, people informed, data returned, deletion certified, records retained.</w:t>
      </w:r>
    </w:p>
    <w:p>
      <w:pPr>
        <w:pStyle w:val="ListParagraph"/>
        <w:numPr>
          <w:ilvl w:val="0"/>
          <w:numId w:val="20"/>
        </w:numPr>
        <w:rPr/>
      </w:pPr>
      <w:r>
        <w:rPr>
          <w:b/>
          <w:bCs/>
        </w:rPr>
        <w:t>Deployer:</w:t>
      </w:r>
      <w:r>
        <w:rPr/>
        <w:t xml:space="preserve"> an organisation that puts an AI system into use, as distinct from the developer that built it.</w:t>
      </w:r>
    </w:p>
    <w:p>
      <w:pPr>
        <w:pStyle w:val="ListParagraph"/>
        <w:numPr>
          <w:ilvl w:val="0"/>
          <w:numId w:val="21"/>
        </w:numPr>
        <w:rPr/>
      </w:pPr>
      <w:r>
        <w:rPr>
          <w:b/>
          <w:bCs/>
        </w:rPr>
        <w:t>Drift:</w:t>
      </w:r>
      <w:r>
        <w:rPr/>
        <w:t xml:space="preserve"> the slow movement of a system’s output patterns away from their baselines without anyone changing anything, because the world stops matching the data the system learned from.</w:t>
      </w:r>
    </w:p>
    <w:p>
      <w:pPr>
        <w:pStyle w:val="ListParagraph"/>
        <w:numPr>
          <w:ilvl w:val="0"/>
          <w:numId w:val="22"/>
        </w:numPr>
        <w:rPr/>
      </w:pPr>
      <w:r>
        <w:rPr>
          <w:b/>
          <w:bCs/>
        </w:rPr>
        <w:t>Due diligence:</w:t>
      </w:r>
      <w:r>
        <w:rPr/>
        <w:t xml:space="preserve"> the structured checking done before committing to a purchase.</w:t>
      </w:r>
    </w:p>
    <w:p>
      <w:pPr>
        <w:pStyle w:val="ListParagraph"/>
        <w:numPr>
          <w:ilvl w:val="0"/>
          <w:numId w:val="23"/>
        </w:numPr>
        <w:rPr/>
      </w:pPr>
      <w:r>
        <w:rPr>
          <w:b/>
          <w:bCs/>
        </w:rPr>
        <w:t>Embedding:</w:t>
      </w:r>
      <w:r>
        <w:rPr/>
        <w:t xml:space="preserve"> a numerical representation of text or records that retrieval systems search over. Made from your data and treated as your data for location, retention, deletion, and training questions (Module 5).</w:t>
      </w:r>
    </w:p>
    <w:p>
      <w:pPr>
        <w:pStyle w:val="ListParagraph"/>
        <w:numPr>
          <w:ilvl w:val="0"/>
          <w:numId w:val="24"/>
        </w:numPr>
        <w:rPr/>
      </w:pPr>
      <w:r>
        <w:rPr>
          <w:b/>
          <w:bCs/>
        </w:rPr>
        <w:t>Entire agreement clause:</w:t>
      </w:r>
      <w:r>
        <w:rPr/>
        <w:t xml:space="preserve"> a common contract clause stating that only the written contract counts; dangerous when it deletes the vendor’s pre-contract claims, which is why those claims must be attached to the contract.</w:t>
      </w:r>
    </w:p>
    <w:p>
      <w:pPr>
        <w:pStyle w:val="ListParagraph"/>
        <w:numPr>
          <w:ilvl w:val="0"/>
          <w:numId w:val="25"/>
        </w:numPr>
        <w:rPr/>
      </w:pPr>
      <w:r>
        <w:rPr>
          <w:b/>
          <w:bCs/>
        </w:rPr>
        <w:t>Escalation list:</w:t>
      </w:r>
      <w:r>
        <w:rPr/>
        <w:t xml:space="preserve"> the short list of uses (Module 2, Step 1) that no one classifies and deploys on their own authority.</w:t>
      </w:r>
    </w:p>
    <w:p>
      <w:pPr>
        <w:pStyle w:val="ListParagraph"/>
        <w:numPr>
          <w:ilvl w:val="0"/>
          <w:numId w:val="26"/>
        </w:numPr>
        <w:rPr/>
      </w:pPr>
      <w:r>
        <w:rPr>
          <w:b/>
          <w:bCs/>
        </w:rPr>
        <w:t>Exit and portability:</w:t>
      </w:r>
      <w:r>
        <w:rPr/>
        <w:t xml:space="preserve"> the contractual guarantee that on leaving, the institution gets its data back in open formats, on a clock, at a fixed cost, with vendor deletion certified.</w:t>
      </w:r>
    </w:p>
    <w:p>
      <w:pPr>
        <w:pStyle w:val="ListParagraph"/>
        <w:numPr>
          <w:ilvl w:val="0"/>
          <w:numId w:val="27"/>
        </w:numPr>
        <w:rPr/>
      </w:pPr>
      <w:r>
        <w:rPr>
          <w:b/>
          <w:bCs/>
        </w:rPr>
        <w:t>Framework default:</w:t>
      </w:r>
      <w:r>
        <w:rPr/>
        <w:t xml:space="preserve"> an operational number in this framework (an hour count, duration, sample size, threshold, or clock) chosen for workability rather than drawn from law or evidence; a recommended starting value to adopt, adjust, and record.</w:t>
      </w:r>
    </w:p>
    <w:p>
      <w:pPr>
        <w:pStyle w:val="ListParagraph"/>
        <w:numPr>
          <w:ilvl w:val="0"/>
          <w:numId w:val="28"/>
        </w:numPr>
        <w:rPr/>
      </w:pPr>
      <w:r>
        <w:rPr>
          <w:b/>
          <w:bCs/>
        </w:rPr>
        <w:t>Frozen prompt set:</w:t>
      </w:r>
      <w:r>
        <w:rPr/>
        <w:t xml:space="preserve"> 30 to 50 representative tasks with notes on acceptable answers, kept unchanged and re-run on every generative model change.</w:t>
      </w:r>
    </w:p>
    <w:p>
      <w:pPr>
        <w:pStyle w:val="ListParagraph"/>
        <w:numPr>
          <w:ilvl w:val="0"/>
          <w:numId w:val="29"/>
        </w:numPr>
        <w:rPr/>
      </w:pPr>
      <w:r>
        <w:rPr>
          <w:b/>
          <w:bCs/>
        </w:rPr>
        <w:t>Frozen test set:</w:t>
      </w:r>
      <w:r>
        <w:rPr/>
        <w:t xml:space="preserve"> the validation sample kept unchanged, under Data Steward control and excluded from vendor training, and re-run at every update and revalidation.</w:t>
      </w:r>
    </w:p>
    <w:p>
      <w:pPr>
        <w:pStyle w:val="ListParagraph"/>
        <w:numPr>
          <w:ilvl w:val="0"/>
          <w:numId w:val="30"/>
        </w:numPr>
        <w:rPr/>
      </w:pPr>
      <w:r>
        <w:rPr>
          <w:b/>
          <w:bCs/>
        </w:rPr>
        <w:t>Gate:</w:t>
      </w:r>
      <w:r>
        <w:rPr/>
        <w:t xml:space="preserve"> a point where a named person signs a named document and the system does not move forward without the signature. This framework uses four (G1 to G4).</w:t>
      </w:r>
    </w:p>
    <w:p>
      <w:pPr>
        <w:pStyle w:val="ListParagraph"/>
        <w:numPr>
          <w:ilvl w:val="0"/>
          <w:numId w:val="31"/>
        </w:numPr>
        <w:rPr/>
      </w:pPr>
      <w:r>
        <w:rPr>
          <w:b/>
          <w:bCs/>
        </w:rPr>
        <w:t>Generative system:</w:t>
      </w:r>
      <w:r>
        <w:rPr/>
        <w:t xml:space="preserve"> an AI system that produces content: text, images, or code. Includes chat assistants and drafting tools.</w:t>
      </w:r>
    </w:p>
    <w:p>
      <w:pPr>
        <w:pStyle w:val="ListParagraph"/>
        <w:numPr>
          <w:ilvl w:val="0"/>
          <w:numId w:val="32"/>
        </w:numPr>
        <w:rPr/>
      </w:pPr>
      <w:r>
        <w:rPr>
          <w:b/>
          <w:bCs/>
        </w:rPr>
        <w:t>Hallucination:</w:t>
      </w:r>
      <w:r>
        <w:rPr/>
        <w:t xml:space="preserve"> a confident false statement produced by a generative system.</w:t>
      </w:r>
    </w:p>
    <w:p>
      <w:pPr>
        <w:pStyle w:val="ListParagraph"/>
        <w:numPr>
          <w:ilvl w:val="0"/>
          <w:numId w:val="33"/>
        </w:numPr>
        <w:rPr/>
      </w:pPr>
      <w:r>
        <w:rPr>
          <w:b/>
          <w:bCs/>
        </w:rPr>
        <w:t>Incident:</w:t>
      </w:r>
      <w:r>
        <w:rPr/>
        <w:t xml:space="preserve"> any event on the closed list in Module 6.6, beginning with a wrong or harmful output reaching a person.</w:t>
      </w:r>
    </w:p>
    <w:p>
      <w:pPr>
        <w:pStyle w:val="ListParagraph"/>
        <w:numPr>
          <w:ilvl w:val="0"/>
          <w:numId w:val="34"/>
        </w:numPr>
        <w:rPr/>
      </w:pPr>
      <w:r>
        <w:rPr>
          <w:b/>
          <w:bCs/>
        </w:rPr>
        <w:t>Independent Reviewer:</w:t>
      </w:r>
      <w:r>
        <w:rPr/>
        <w:t xml:space="preserve"> the named role that checks gate evidence and can refuse the signature, held outside the deploying team.</w:t>
      </w:r>
    </w:p>
    <w:p>
      <w:pPr>
        <w:pStyle w:val="ListParagraph"/>
        <w:numPr>
          <w:ilvl w:val="0"/>
          <w:numId w:val="35"/>
        </w:numPr>
        <w:rPr/>
      </w:pPr>
      <w:r>
        <w:rPr>
          <w:b/>
          <w:bCs/>
        </w:rPr>
        <w:t>Liability cap:</w:t>
      </w:r>
      <w:r>
        <w:rPr/>
        <w:t xml:space="preserve"> a contractual ceiling on what a vendor can ever owe you, often a multiple of fees paid.</w:t>
      </w:r>
    </w:p>
    <w:p>
      <w:pPr>
        <w:pStyle w:val="ListParagraph"/>
        <w:numPr>
          <w:ilvl w:val="0"/>
          <w:numId w:val="36"/>
        </w:numPr>
        <w:rPr/>
      </w:pPr>
      <w:r>
        <w:rPr>
          <w:b/>
          <w:bCs/>
        </w:rPr>
        <w:t>Minimisation:</w:t>
      </w:r>
      <w:r>
        <w:rPr/>
        <w:t xml:space="preserve"> sending the minimum field set the vendor’s own data specification justifies, and recording what was withheld and why.</w:t>
      </w:r>
    </w:p>
    <w:p>
      <w:pPr>
        <w:pStyle w:val="ListParagraph"/>
        <w:numPr>
          <w:ilvl w:val="0"/>
          <w:numId w:val="37"/>
        </w:numPr>
        <w:rPr/>
      </w:pPr>
      <w:r>
        <w:rPr>
          <w:b/>
          <w:bCs/>
        </w:rPr>
        <w:t>Model:</w:t>
      </w:r>
      <w:r>
        <w:rPr/>
        <w:t xml:space="preserve"> the learned component inside an AI system that turns inputs into outputs.</w:t>
      </w:r>
    </w:p>
    <w:p>
      <w:pPr>
        <w:pStyle w:val="ListParagraph"/>
        <w:numPr>
          <w:ilvl w:val="0"/>
          <w:numId w:val="38"/>
        </w:numPr>
        <w:rPr/>
      </w:pPr>
      <w:r>
        <w:rPr>
          <w:b/>
          <w:bCs/>
        </w:rPr>
        <w:t>Omission error:</w:t>
      </w:r>
      <w:r>
        <w:rPr/>
        <w:t xml:space="preserve"> failing to act when a system stays silent even though other information says act.</w:t>
      </w:r>
    </w:p>
    <w:p>
      <w:pPr>
        <w:pStyle w:val="ListParagraph"/>
        <w:numPr>
          <w:ilvl w:val="0"/>
          <w:numId w:val="39"/>
        </w:numPr>
        <w:rPr/>
      </w:pPr>
      <w:r>
        <w:rPr>
          <w:b/>
          <w:bCs/>
        </w:rPr>
        <w:t>Operational Lead:</w:t>
      </w:r>
      <w:r>
        <w:rPr/>
        <w:t xml:space="preserve"> the named role running a system day to day: monitoring, escalations, updates, and the countermeasures.</w:t>
      </w:r>
    </w:p>
    <w:p>
      <w:pPr>
        <w:pStyle w:val="ListParagraph"/>
        <w:numPr>
          <w:ilvl w:val="0"/>
          <w:numId w:val="40"/>
        </w:numPr>
        <w:rPr/>
      </w:pPr>
      <w:r>
        <w:rPr>
          <w:b/>
          <w:bCs/>
        </w:rPr>
        <w:t>Override:</w:t>
      </w:r>
      <w:r>
        <w:rPr/>
        <w:t xml:space="preserve"> a reviewer’s decision to depart from the system’s output in an individual case.</w:t>
      </w:r>
    </w:p>
    <w:p>
      <w:pPr>
        <w:pStyle w:val="ListParagraph"/>
        <w:numPr>
          <w:ilvl w:val="0"/>
          <w:numId w:val="41"/>
        </w:numPr>
        <w:rPr/>
      </w:pPr>
      <w:r>
        <w:rPr>
          <w:b/>
          <w:bCs/>
        </w:rPr>
        <w:t>Oversight:</w:t>
      </w:r>
      <w:r>
        <w:rPr/>
        <w:t xml:space="preserve"> a named person, with authority they can use, information they can act on, time to look, and accountability for what they decide.</w:t>
      </w:r>
    </w:p>
    <w:p>
      <w:pPr>
        <w:pStyle w:val="ListParagraph"/>
        <w:numPr>
          <w:ilvl w:val="0"/>
          <w:numId w:val="42"/>
        </w:numPr>
        <w:rPr/>
      </w:pPr>
      <w:r>
        <w:rPr>
          <w:b/>
          <w:bCs/>
        </w:rPr>
        <w:t>Personal data:</w:t>
      </w:r>
      <w:r>
        <w:rPr/>
        <w:t xml:space="preserve"> anything relating to an identifiable person, including identifiers like account numbers, addresses, and device identifiers.</w:t>
      </w:r>
    </w:p>
    <w:p>
      <w:pPr>
        <w:pStyle w:val="ListParagraph"/>
        <w:numPr>
          <w:ilvl w:val="0"/>
          <w:numId w:val="43"/>
        </w:numPr>
        <w:rPr/>
      </w:pPr>
      <w:r>
        <w:rPr>
          <w:b/>
          <w:bCs/>
        </w:rPr>
        <w:t>Pilot:</w:t>
      </w:r>
      <w:r>
        <w:rPr/>
        <w:t xml:space="preserve"> limited live use under a written scope, duration, success criteria, and stop criteria.</w:t>
      </w:r>
    </w:p>
    <w:p>
      <w:pPr>
        <w:pStyle w:val="ListParagraph"/>
        <w:numPr>
          <w:ilvl w:val="0"/>
          <w:numId w:val="44"/>
        </w:numPr>
        <w:rPr/>
      </w:pPr>
      <w:r>
        <w:rPr>
          <w:b/>
          <w:bCs/>
        </w:rPr>
        <w:t>Predictive system:</w:t>
      </w:r>
      <w:r>
        <w:rPr/>
        <w:t xml:space="preserve"> an AI system that scores, ranks, classifies, or forecasts.</w:t>
      </w:r>
    </w:p>
    <w:p>
      <w:pPr>
        <w:pStyle w:val="ListParagraph"/>
        <w:numPr>
          <w:ilvl w:val="0"/>
          <w:numId w:val="45"/>
        </w:numPr>
        <w:rPr/>
      </w:pPr>
      <w:r>
        <w:rPr>
          <w:b/>
          <w:bCs/>
        </w:rPr>
        <w:t>Procurement:</w:t>
      </w:r>
      <w:r>
        <w:rPr/>
        <w:t xml:space="preserve"> the whole process of buying: defining what you need, inviting offers, evaluating them, negotiating, and signing.</w:t>
      </w:r>
    </w:p>
    <w:p>
      <w:pPr>
        <w:pStyle w:val="ListParagraph"/>
        <w:numPr>
          <w:ilvl w:val="0"/>
          <w:numId w:val="46"/>
        </w:numPr>
        <w:rPr/>
      </w:pPr>
      <w:r>
        <w:rPr>
          <w:b/>
          <w:bCs/>
        </w:rPr>
        <w:t>Prompt injection:</w:t>
      </w:r>
      <w:r>
        <w:rPr/>
        <w:t xml:space="preserve"> an attack where instructions hidden in text a system reads hijack its behaviour.</w:t>
      </w:r>
    </w:p>
    <w:p>
      <w:pPr>
        <w:pStyle w:val="ListParagraph"/>
        <w:numPr>
          <w:ilvl w:val="0"/>
          <w:numId w:val="47"/>
        </w:numPr>
        <w:rPr/>
      </w:pPr>
      <w:r>
        <w:rPr>
          <w:b/>
          <w:bCs/>
        </w:rPr>
        <w:t>Pseudonymisation:</w:t>
      </w:r>
      <w:r>
        <w:rPr/>
        <w:t xml:space="preserve"> replacing direct identifiers with codes. The person remains identifiable to whoever holds the key, and most laws still treat the data as personal.</w:t>
      </w:r>
    </w:p>
    <w:p>
      <w:pPr>
        <w:pStyle w:val="ListParagraph"/>
        <w:numPr>
          <w:ilvl w:val="0"/>
          <w:numId w:val="48"/>
        </w:numPr>
        <w:rPr/>
      </w:pPr>
      <w:r>
        <w:rPr>
          <w:b/>
          <w:bCs/>
        </w:rPr>
        <w:t>RACI:</w:t>
      </w:r>
      <w:r>
        <w:rPr/>
        <w:t xml:space="preserve"> a one-page chart assigning each activity a Responsible, Accountable, Consulted, and Informed role.</w:t>
      </w:r>
    </w:p>
    <w:p>
      <w:pPr>
        <w:pStyle w:val="ListParagraph"/>
        <w:numPr>
          <w:ilvl w:val="0"/>
          <w:numId w:val="49"/>
        </w:numPr>
        <w:rPr/>
      </w:pPr>
      <w:r>
        <w:rPr>
          <w:b/>
          <w:bCs/>
        </w:rPr>
        <w:t>Register (system register):</w:t>
      </w:r>
      <w:r>
        <w:rPr/>
        <w:t xml:space="preserve"> the living document listing every AI use case, its tier, its owners, its gates, and its status.</w:t>
      </w:r>
    </w:p>
    <w:p>
      <w:pPr>
        <w:pStyle w:val="ListParagraph"/>
        <w:numPr>
          <w:ilvl w:val="0"/>
          <w:numId w:val="50"/>
        </w:numPr>
        <w:rPr/>
      </w:pPr>
      <w:r>
        <w:rPr>
          <w:b/>
          <w:bCs/>
        </w:rPr>
        <w:t>Residency:</w:t>
      </w:r>
      <w:r>
        <w:rPr/>
        <w:t xml:space="preserve"> the countries where data is physically stored, processed, and backed up.</w:t>
      </w:r>
    </w:p>
    <w:p>
      <w:pPr>
        <w:pStyle w:val="ListParagraph"/>
        <w:numPr>
          <w:ilvl w:val="0"/>
          <w:numId w:val="51"/>
        </w:numPr>
        <w:rPr/>
      </w:pPr>
      <w:r>
        <w:rPr>
          <w:b/>
          <w:bCs/>
        </w:rPr>
        <w:t>Revalidation:</w:t>
      </w:r>
      <w:r>
        <w:rPr/>
        <w:t xml:space="preserve"> re-running the validation exercise on refreshed data.</w:t>
      </w:r>
    </w:p>
    <w:p>
      <w:pPr>
        <w:pStyle w:val="ListParagraph"/>
        <w:numPr>
          <w:ilvl w:val="0"/>
          <w:numId w:val="52"/>
        </w:numPr>
        <w:rPr/>
      </w:pPr>
      <w:r>
        <w:rPr>
          <w:b/>
          <w:bCs/>
        </w:rPr>
        <w:t>Risk tier:</w:t>
      </w:r>
      <w:r>
        <w:rPr/>
        <w:t xml:space="preserve"> the classification (1 to 4) that sets how much governance a use case must carry.</w:t>
      </w:r>
    </w:p>
    <w:p>
      <w:pPr>
        <w:pStyle w:val="ListParagraph"/>
        <w:numPr>
          <w:ilvl w:val="0"/>
          <w:numId w:val="53"/>
        </w:numPr>
        <w:rPr/>
      </w:pPr>
      <w:r>
        <w:rPr>
          <w:b/>
          <w:bCs/>
        </w:rPr>
        <w:t>Sensitive personal data:</w:t>
      </w:r>
      <w:r>
        <w:rPr/>
        <w:t xml:space="preserve"> the categories of personal data given special protection by law, commonly health, ethnicity, religion, biometrics, sexual life, and criminal records, and often children’s data. Check locally for your law’s list.</w:t>
      </w:r>
    </w:p>
    <w:p>
      <w:pPr>
        <w:pStyle w:val="ListParagraph"/>
        <w:numPr>
          <w:ilvl w:val="0"/>
          <w:numId w:val="54"/>
        </w:numPr>
        <w:rPr/>
      </w:pPr>
      <w:r>
        <w:rPr>
          <w:b/>
          <w:bCs/>
        </w:rPr>
        <w:t>Severity:</w:t>
      </w:r>
      <w:r>
        <w:rPr/>
        <w:t xml:space="preserve"> the three-level scale for incidents and support.</w:t>
      </w:r>
    </w:p>
    <w:p>
      <w:pPr>
        <w:pStyle w:val="ListParagraph"/>
        <w:numPr>
          <w:ilvl w:val="0"/>
          <w:numId w:val="55"/>
        </w:numPr>
        <w:rPr/>
      </w:pPr>
      <w:r>
        <w:rPr>
          <w:b/>
          <w:bCs/>
        </w:rPr>
        <w:t>Shadow mode:</w:t>
      </w:r>
      <w:r>
        <w:rPr/>
        <w:t xml:space="preserve"> the system runs on live cases and its outputs are recorded, while humans decide exactly as before; outputs are compared against decisions and outcomes.</w:t>
      </w:r>
    </w:p>
    <w:p>
      <w:pPr>
        <w:pStyle w:val="ListParagraph"/>
        <w:numPr>
          <w:ilvl w:val="0"/>
          <w:numId w:val="56"/>
        </w:numPr>
        <w:rPr/>
      </w:pPr>
      <w:r>
        <w:rPr>
          <w:b/>
          <w:bCs/>
        </w:rPr>
        <w:t>Silent update:</w:t>
      </w:r>
      <w:r>
        <w:rPr/>
        <w:t xml:space="preserve"> a change to a model or system behaviour made without notice to the institution. Contractually excluded; treated as an incident when discovered.</w:t>
      </w:r>
    </w:p>
    <w:p>
      <w:pPr>
        <w:pStyle w:val="ListParagraph"/>
        <w:numPr>
          <w:ilvl w:val="0"/>
          <w:numId w:val="57"/>
        </w:numPr>
        <w:rPr/>
      </w:pPr>
      <w:r>
        <w:rPr>
          <w:b/>
          <w:bCs/>
        </w:rPr>
        <w:t>Subcontractor flow-down:</w:t>
      </w:r>
      <w:r>
        <w:rPr/>
        <w:t xml:space="preserve"> the contract sentence making every vendor obligation bind the vendor’s subcontractors too.</w:t>
      </w:r>
    </w:p>
    <w:p>
      <w:pPr>
        <w:pStyle w:val="ListParagraph"/>
        <w:numPr>
          <w:ilvl w:val="0"/>
          <w:numId w:val="58"/>
        </w:numPr>
        <w:rPr/>
      </w:pPr>
      <w:r>
        <w:rPr>
          <w:b/>
          <w:bCs/>
        </w:rPr>
        <w:t>Subgroup:</w:t>
      </w:r>
      <w:r>
        <w:rPr/>
        <w:t xml:space="preserve"> a part of the served population reported on separately (by age, sex, language, or the categories your law protects) so that an average cannot hide a group-level failure.</w:t>
      </w:r>
    </w:p>
    <w:p>
      <w:pPr>
        <w:pStyle w:val="ListParagraph"/>
        <w:numPr>
          <w:ilvl w:val="0"/>
          <w:numId w:val="59"/>
        </w:numPr>
        <w:rPr/>
      </w:pPr>
      <w:r>
        <w:rPr>
          <w:b/>
          <w:bCs/>
        </w:rPr>
        <w:t>System Owner:</w:t>
      </w:r>
      <w:r>
        <w:rPr/>
        <w:t xml:space="preserve"> the named role accountable for a system’s behaviour in service, senior enough to stop it without asking permission.</w:t>
      </w:r>
    </w:p>
    <w:p>
      <w:pPr>
        <w:pStyle w:val="ListParagraph"/>
        <w:numPr>
          <w:ilvl w:val="0"/>
          <w:numId w:val="60"/>
        </w:numPr>
        <w:rPr/>
      </w:pPr>
      <w:r>
        <w:rPr>
          <w:b/>
          <w:bCs/>
        </w:rPr>
        <w:t>Tender (request for proposals):</w:t>
      </w:r>
      <w:r>
        <w:rPr/>
        <w:t xml:space="preserve"> the written document sent to vendors stating requirements, whose written answers can be made part of the contract.</w:t>
      </w:r>
    </w:p>
    <w:p>
      <w:pPr>
        <w:pStyle w:val="ListParagraph"/>
        <w:numPr>
          <w:ilvl w:val="0"/>
          <w:numId w:val="61"/>
        </w:numPr>
        <w:rPr/>
      </w:pPr>
      <w:r>
        <w:rPr>
          <w:b/>
          <w:bCs/>
        </w:rPr>
        <w:t>Validation:</w:t>
      </w:r>
      <w:r>
        <w:rPr/>
        <w:t xml:space="preserve"> testing the system against your institution’s own historical cases, scored against criteria fixed in advance.</w:t>
      </w:r>
    </w:p>
    <w:p>
      <w:pPr>
        <w:pStyle w:val="ListParagraph"/>
        <w:numPr>
          <w:ilvl w:val="0"/>
          <w:numId w:val="62"/>
        </w:numPr>
        <w:rPr/>
      </w:pPr>
      <w:r>
        <w:rPr>
          <w:b/>
          <w:bCs/>
        </w:rPr>
        <w:t>Vendor:</w:t>
      </w:r>
      <w:r>
        <w:rPr/>
        <w:t xml:space="preserve"> the company selling the system; where a reseller sells it, the one who can answer the questions.</w:t>
      </w:r>
      <w:bookmarkEnd w:id="7"/>
    </w:p>
    <w:p>
      <w:pPr>
        <w:pStyle w:val="Heading2"/>
        <w:pageBreakBefore/>
        <w:rPr/>
      </w:pPr>
      <w:bookmarkStart w:id="8" w:name="annex-c-references"/>
      <w:r>
        <w:rPr/>
        <w:t>Annex C: References</w:t>
      </w:r>
    </w:p>
    <w:p>
      <w:pPr>
        <w:pStyle w:val="Normal"/>
        <w:rPr/>
      </w:pPr>
      <w:r>
        <w:rPr/>
        <w:t>All sources cited in this framework. Each was verified against the source during drafting.</w:t>
      </w:r>
    </w:p>
    <w:p>
      <w:pPr>
        <w:pStyle w:val="Normal"/>
        <w:rPr/>
      </w:pPr>
      <w:r>
        <w:rPr>
          <w:b/>
          <w:bCs/>
        </w:rPr>
        <w:t>Cases and studies</w:t>
      </w:r>
    </w:p>
    <w:p>
      <w:pPr>
        <w:pStyle w:val="ListParagraph"/>
        <w:numPr>
          <w:ilvl w:val="0"/>
          <w:numId w:val="63"/>
        </w:numPr>
        <w:rPr/>
      </w:pPr>
      <w:r>
        <w:rPr/>
        <w:t>Obermeyer, Z., Powers, B., Vogeli, C., and Mullainathan, S. “Dissecting Racial Bias in an Algorithm Used to Manage the Health of Populations.” Science, volume 366, issue 6464 (25 October 2019), pages 447 to 453. doi:10.1126/science.aax2342.</w:t>
      </w:r>
    </w:p>
    <w:p>
      <w:pPr>
        <w:pStyle w:val="ListParagraph"/>
        <w:numPr>
          <w:ilvl w:val="0"/>
          <w:numId w:val="3"/>
        </w:numPr>
        <w:rPr/>
      </w:pPr>
      <w:r>
        <w:rPr/>
        <w:t>Wong, A., Otles, E., Donnelly, J. P., Krumm, A., McCullough, J., DeTroyer-Cooley, O., Pestrue, J., Phillips, M., Konye, J., Penoza, C., Ghous, M., and Singh, K. “External Validation of a Widely Implemented Proprietary Sepsis Prediction Model in Hospitalized Patients.” JAMA Internal Medicine, volume 181, issue 8 (2021), pages 1065 to 1070. doi:10.1001/jamainternmed.2021.2626.</w:t>
      </w:r>
    </w:p>
    <w:p>
      <w:pPr>
        <w:pStyle w:val="ListParagraph"/>
        <w:numPr>
          <w:ilvl w:val="0"/>
          <w:numId w:val="3"/>
        </w:numPr>
        <w:rPr/>
      </w:pPr>
      <w:r>
        <w:rPr/>
        <w:t>Habib, A. R., Lin, A. L., and Grant, R. W. “The Epic Sepsis Model Falls Short: The Importance of External Validation.” JAMA Internal Medicine, volume 181, issue 8 (2021), pages 1040 to 1041. doi:10.1001/jamainternmed.2021.3333.</w:t>
      </w:r>
    </w:p>
    <w:p>
      <w:pPr>
        <w:pStyle w:val="ListParagraph"/>
        <w:numPr>
          <w:ilvl w:val="0"/>
          <w:numId w:val="3"/>
        </w:numPr>
        <w:rPr/>
      </w:pPr>
      <w:r>
        <w:rPr/>
        <w:t>Ross, C. “Epic overhauls popular sepsis algorithm criticized for faulty alarms.” STAT News, 3 October 2022.</w:t>
      </w:r>
    </w:p>
    <w:p>
      <w:pPr>
        <w:pStyle w:val="ListParagraph"/>
        <w:numPr>
          <w:ilvl w:val="0"/>
          <w:numId w:val="3"/>
        </w:numPr>
        <w:rPr/>
      </w:pPr>
      <w:r>
        <w:rPr/>
        <w:t>Wong, A., Currey, D., Schwinne, M., Park-Egan, B., Meyer, S., Gutting, A., Cao, J., Khan, S., Dantes, R., Pan, T., Buchman, T., Singh, K., Bhavani, S. V., Lyons, P. G., Sjoding, M. W., and Tarabichi, Y. “Multicenter Prospective Validation of an Updated Proprietary Sepsis Prediction Model.” JAMA Network Open, volume 9, issue 2 (2026), article e260181. doi:10.1001/jamanetworkopen.2026.0181.</w:t>
      </w:r>
    </w:p>
    <w:p>
      <w:pPr>
        <w:pStyle w:val="ListParagraph"/>
        <w:numPr>
          <w:ilvl w:val="0"/>
          <w:numId w:val="3"/>
        </w:numPr>
        <w:rPr/>
      </w:pPr>
      <w:r>
        <w:rPr/>
        <w:t>Skitka, L. J., Mosier, K. L., and Burdick, M. “Accountability and automation bias.” International Journal of Human-Computer Studies, volume 52, issue 4 (2000), pages 701 to 717. doi:10.1006/ijhc.1999.0349.</w:t>
      </w:r>
    </w:p>
    <w:p>
      <w:pPr>
        <w:pStyle w:val="ListParagraph"/>
        <w:numPr>
          <w:ilvl w:val="0"/>
          <w:numId w:val="3"/>
        </w:numPr>
        <w:rPr/>
      </w:pPr>
      <w:r>
        <w:rPr/>
        <w:t>Parlementaire ondervragingscommissie Kinderopvangtoeslag, “Ongekend Onrecht” (“Unprecedented Injustice”), Netherlands House of Representatives, December 2020.</w:t>
      </w:r>
    </w:p>
    <w:p>
      <w:pPr>
        <w:pStyle w:val="ListParagraph"/>
        <w:numPr>
          <w:ilvl w:val="0"/>
          <w:numId w:val="3"/>
        </w:numPr>
        <w:rPr/>
      </w:pPr>
      <w:r>
        <w:rPr/>
        <w:t>Autoriteit Persoonsgegevens (Dutch Data Protection Authority), “Boete Belastingdienst kinderopvangtoeslag,” fine decision of 2.75 million euros, published 7 December 2021.</w:t>
      </w:r>
    </w:p>
    <w:p>
      <w:pPr>
        <w:pStyle w:val="ListParagraph"/>
        <w:numPr>
          <w:ilvl w:val="0"/>
          <w:numId w:val="3"/>
        </w:numPr>
        <w:rPr/>
      </w:pPr>
      <w:r>
        <w:rPr/>
        <w:t>Amnesty International, “Xenophobic Machines: Discrimination through unregulated use of algorithms in the Dutch childcare benefits scandal,” October 2021.</w:t>
      </w:r>
    </w:p>
    <w:p>
      <w:pPr>
        <w:pStyle w:val="ListParagraph"/>
        <w:numPr>
          <w:ilvl w:val="0"/>
          <w:numId w:val="3"/>
        </w:numPr>
        <w:rPr/>
      </w:pPr>
      <w:r>
        <w:rPr/>
        <w:t>Information Commissioner’s Office (United Kingdom), “Royal Free - Google DeepMind trial failed to comply with data protection law,” news release and Data Protection Act 1998 undertaking, 3 July 2017.</w:t>
      </w:r>
    </w:p>
    <w:p>
      <w:pPr>
        <w:pStyle w:val="Normal"/>
        <w:rPr/>
      </w:pPr>
      <w:r>
        <w:rPr>
          <w:b/>
          <w:bCs/>
        </w:rPr>
        <w:t>Standards and instruments</w:t>
      </w:r>
    </w:p>
    <w:p>
      <w:pPr>
        <w:pStyle w:val="ListParagraph"/>
        <w:numPr>
          <w:ilvl w:val="0"/>
          <w:numId w:val="64"/>
        </w:numPr>
        <w:rPr/>
      </w:pPr>
      <w:r>
        <w:rPr/>
        <w:t>Regulation (EU) 2024/1689 of the European Parliament and of the Council of 13 June 2024 (the EU Artificial Intelligence Act). Entered into force 1 August 2024; obligations apply in phases. Amended by Regulation (EU) 2026/1744 of 8 July 2026 (Digital Omnibus on AI), in force 27 July 2026.</w:t>
      </w:r>
    </w:p>
    <w:p>
      <w:pPr>
        <w:pStyle w:val="ListParagraph"/>
        <w:numPr>
          <w:ilvl w:val="0"/>
          <w:numId w:val="4"/>
        </w:numPr>
        <w:rPr/>
      </w:pPr>
      <w:r>
        <w:rPr/>
        <w:t>NIST, Artificial Intelligence Risk Management Framework (AI RMF 1.0), January 2023.</w:t>
      </w:r>
    </w:p>
    <w:p>
      <w:pPr>
        <w:pStyle w:val="ListParagraph"/>
        <w:numPr>
          <w:ilvl w:val="0"/>
          <w:numId w:val="4"/>
        </w:numPr>
        <w:rPr/>
      </w:pPr>
      <w:r>
        <w:rPr/>
        <w:t>ISO/IEC 42001:2023, Information technology, Artificial intelligence, Management system. December 2023.</w:t>
      </w:r>
    </w:p>
    <w:p>
      <w:pPr>
        <w:pStyle w:val="ListParagraph"/>
        <w:numPr>
          <w:ilvl w:val="0"/>
          <w:numId w:val="4"/>
        </w:numPr>
        <w:rPr/>
      </w:pPr>
      <w:r>
        <w:rPr/>
        <w:t>ISO/IEC 27001:2022, Information security, cybersecurity and privacy protection, Information security management systems, Requirements.</w:t>
      </w:r>
    </w:p>
    <w:p>
      <w:pPr>
        <w:pStyle w:val="ListParagraph"/>
        <w:numPr>
          <w:ilvl w:val="0"/>
          <w:numId w:val="4"/>
        </w:numPr>
        <w:rPr/>
      </w:pPr>
      <w:r>
        <w:rPr/>
        <w:t>OECD, Recommendation of the Council on Artificial Intelligence (the OECD AI Principles), adopted May 2019, updated 2024.</w:t>
      </w:r>
    </w:p>
    <w:p>
      <w:pPr>
        <w:pStyle w:val="ListParagraph"/>
        <w:numPr>
          <w:ilvl w:val="0"/>
          <w:numId w:val="4"/>
        </w:numPr>
        <w:rPr/>
      </w:pPr>
      <w:r>
        <w:rPr/>
        <w:t>UNESCO, Recommendation on the Ethics of Artificial Intelligence, adopted by 193 member states, November 2021.</w:t>
      </w:r>
    </w:p>
    <w:p>
      <w:pPr>
        <w:pStyle w:val="ListParagraph"/>
        <w:numPr>
          <w:ilvl w:val="0"/>
          <w:numId w:val="4"/>
        </w:numPr>
        <w:rPr/>
      </w:pPr>
      <w:bookmarkStart w:id="9" w:name="annex-c-references"/>
      <w:r>
        <w:rPr/>
        <w:t>Regulation (EU) 2016/679 (the General Data Protection Regulation), cited as an example of a family of national data protection laws: Articles 22 and 33, Recital 26.</w:t>
      </w:r>
      <w:bookmarkEnd w:id="9"/>
    </w:p>
    <w:p>
      <w:pPr>
        <w:pStyle w:val="Heading2"/>
        <w:pageBreakBefore/>
        <w:rPr/>
      </w:pPr>
      <w:bookmarkStart w:id="10" w:name="the-limits-of-this-framework-restated"/>
      <w:r>
        <w:rPr/>
        <w:t>The limits of this framework, restated</w:t>
      </w:r>
    </w:p>
    <w:p>
      <w:pPr>
        <w:pStyle w:val="Normal"/>
        <w:rPr/>
      </w:pPr>
      <w:bookmarkStart w:id="11" w:name="the-limits-of-this-framework-restated"/>
      <w:r>
        <w:rPr/>
        <w:t>This framework is guidance and it is not legal advice. It does not evaluate model internals; its method is external evidence, testing, monitoring, and contract. It certifies compliance with no law or standard; the mapping in Annex A shows direction of travel. It does not replace clinical, financial, or engineering judgement, and it does not govern the building of models. It names the points where paid specialist help is required: legal review before any high-stakes contract signature; local data protection advice before personal data crosses a border; independent security testing for public-facing systems; independent adversarial testing for systems where successful manipulation could affect safety, security screening, or access to essential services; and domain review before any high-stakes go-live. Where any national law or sector rule applies to you, it prevails over this framework.</w:t>
      </w:r>
      <w:bookmarkEnd w:id="11"/>
    </w:p>
    <w:p>
      <w:pPr>
        <w:pStyle w:val="Heading2"/>
        <w:rPr/>
      </w:pPr>
      <w:bookmarkStart w:id="12" w:name="about-yellow-sapphire-technologies"/>
      <w:r>
        <w:rPr/>
        <w:t>About Yellow Sapphire Technologies</w:t>
      </w:r>
    </w:p>
    <w:p>
      <w:pPr>
        <w:pStyle w:val="Normal"/>
        <w:rPr/>
      </w:pPr>
      <w:bookmarkStart w:id="13" w:name="about-yellow-sapphire-technologies"/>
      <w:r>
        <w:rPr/>
        <w:t>Yellow Sapphire Technologies Inc. (YS Tech) is a technology services company incorporated in New Brunswick, Canada, with its registered office in Moncton and offices in Dubai, Doha, London, and New Delhi. This framework was authored under the direction of Anuuj Chauhan, Co-Founder and CEO. It was drafted by the team of analysts at Yellow Sapphire Technologies with the assistance of AI tools, under his direction and editorial control. He reviewed and approved the final text, and every citation in Annex C was checked against its published source before publication. In 2026, YS Tech was invited to contribute to the United Nations Global Dialogue on AI Governance and registered this framework as a public commitment after the Dialogue; this document is the delivery of that commitment.</w:t>
      </w:r>
      <w:bookmarkEnd w:id="13"/>
    </w:p>
    <w:p>
      <w:pPr>
        <w:pStyle w:val="Heading2"/>
        <w:rPr/>
      </w:pPr>
      <w:bookmarkStart w:id="14" w:name="how-to-cite-this-framework"/>
      <w:r>
        <w:rPr/>
        <w:t>How to cite this framework</w:t>
      </w:r>
    </w:p>
    <w:p>
      <w:pPr>
        <w:pStyle w:val="Normal"/>
        <w:rPr/>
      </w:pPr>
      <w:r>
        <w:rPr/>
        <w:t xml:space="preserve">Yellow Sapphire Technologies Inc. </w:t>
      </w:r>
      <w:r>
        <w:rPr>
          <w:i/>
          <w:iCs/>
        </w:rPr>
        <w:t>Open AI Governance and Deployment Framework</w:t>
      </w:r>
      <w:r>
        <w:rPr/>
        <w:t xml:space="preserve">, Version 1.0. Moncton, New Brunswick: Yellow Sapphire Technologies Inc., 1 October 2026. </w:t>
      </w:r>
      <w:hyperlink r:id="rId14">
        <w:r>
          <w:rPr>
            <w:rStyle w:val="Hyperlink"/>
          </w:rPr>
          <w:t>doi:10.5281/zenodo.22986774</w:t>
        </w:r>
      </w:hyperlink>
      <w:r>
        <w:rPr/>
        <w:t>. Version 1.0 is deposited, on publication, in an open archival repository (Zenodo) under that DOI, so the reference is stable and permanent; each future version receives its own DOI, and citations should state the version.</w:t>
      </w:r>
      <w:bookmarkEnd w:id="14"/>
    </w:p>
    <w:p>
      <w:pPr>
        <w:pStyle w:val="Heading2"/>
        <w:rPr/>
      </w:pPr>
      <w:bookmarkStart w:id="15" w:name="licence"/>
      <w:r>
        <w:rPr/>
        <w:t>Licence</w:t>
      </w:r>
    </w:p>
    <w:p>
      <w:pPr>
        <w:pStyle w:val="Normal"/>
        <w:rPr/>
      </w:pPr>
      <w:r>
        <w:rPr/>
        <w:t xml:space="preserve">This work is published under the </w:t>
      </w:r>
      <w:r>
        <w:rPr>
          <w:b/>
          <w:bCs/>
        </w:rPr>
        <w:t>Creative Commons Attribution 4.0 International licence (CC BY 4.0)</w:t>
      </w:r>
      <w:r>
        <w:rPr/>
        <w:t>. In practice this means you may copy, redistribute, adapt, translate, and build upon this framework, for any purpose including commercially, provided you give appropriate credit to Yellow Sapphire Technologies Inc. as the source, link to the licence, and indicate if changes were made. In one sentence: you are free to localise this document to your country, language, sector, and institution without asking permission, so long as you say where it came from. Two things the licence does not cover, because CC BY 4.0 does not license trademarks or names: the name “Open AI Governance and Deployment Framework,” the version designations, and the publisher’s names and marks are not licensed, and adaptations must be described as adapted from the Open AI Governance and Deployment Framework (stating the version adapted from) rather than presented as the framework itself or as endorsed by the publisher. Licence text: creativecommons.org/licenses/by/4.0.</w:t>
      </w:r>
      <w:bookmarkEnd w:id="15"/>
    </w:p>
    <w:p>
      <w:pPr>
        <w:pStyle w:val="Heading2"/>
        <w:rPr/>
      </w:pPr>
      <w:bookmarkStart w:id="16" w:name="disclaimers"/>
      <w:r>
        <w:rPr/>
        <w:t>Disclaimers</w:t>
      </w:r>
    </w:p>
    <w:p>
      <w:pPr>
        <w:pStyle w:val="Normal"/>
        <w:rPr/>
      </w:pPr>
      <w:r>
        <w:rPr>
          <w:b/>
          <w:bCs/>
        </w:rPr>
        <w:t>This framework is guidance and it is not legal advice.</w:t>
      </w:r>
      <w:r>
        <w:rPr/>
        <w:t xml:space="preserve"> Institutions must consult qualified local counsel on their own legal obligations, including before signing contracts based on the clause library, before transferring personal data, and wherever this document says “check locally.”</w:t>
      </w:r>
    </w:p>
    <w:p>
      <w:pPr>
        <w:pStyle w:val="Normal"/>
        <w:rPr/>
      </w:pPr>
      <w:r>
        <w:rPr>
          <w:b/>
          <w:bCs/>
        </w:rPr>
        <w:t>On the United Nations.</w:t>
      </w:r>
      <w:r>
        <w:rPr/>
        <w:t xml:space="preserve"> Publication of an initiative through the Partnerships Hub of the Global Dialogue on AI Governance does not constitute endorsement by the United Nations, the Co-Chairs, or the Global Dialogue. This framework is the sole work and responsibility of Yellow Sapphire Technologies Inc. The names and emblems of the United Nations are not used in this document as, and must never be presented as, a badge of approval.</w:t>
      </w:r>
    </w:p>
    <w:p>
      <w:pPr>
        <w:pStyle w:val="Normal"/>
        <w:rPr/>
      </w:pPr>
      <w:r>
        <w:rPr>
          <w:b/>
          <w:bCs/>
        </w:rPr>
        <w:t>On the cases cited.</w:t>
      </w:r>
      <w:r>
        <w:rPr/>
        <w:t xml:space="preserve"> The documented cases in this framework are drawn from published rulings, peer-reviewed studies, official inquiries, and reporting, cited in Annex C. They are used to show why controls exist, and no statement in this framework should be read as a claim about any organisation beyond what the cited sources state.</w:t>
      </w:r>
      <w:bookmarkEnd w:id="16"/>
    </w:p>
    <w:p>
      <w:pPr>
        <w:pStyle w:val="Heading2"/>
        <w:rPr/>
      </w:pPr>
      <w:bookmarkStart w:id="17" w:name="feedback-and-versioning"/>
      <w:r>
        <w:rPr/>
        <w:t>Feedback and versioning</w:t>
      </w:r>
    </w:p>
    <w:p>
      <w:pPr>
        <w:pStyle w:val="Normal"/>
        <w:rPr/>
      </w:pPr>
      <w:r>
        <w:rPr>
          <w:b/>
          <w:bCs/>
        </w:rPr>
        <w:t>Feedback.</w:t>
      </w:r>
      <w:r>
        <w:rPr/>
        <w:t xml:space="preserve"> Write to Anuuj Chauhan, Co-Founder and CEO of Yellow Sapphire Technologies, at </w:t>
      </w:r>
      <w:hyperlink r:id="rId15">
        <w:r>
          <w:rPr>
            <w:rStyle w:val="Hyperlink"/>
          </w:rPr>
          <w:t>anuuj@ystech.io</w:t>
        </w:r>
      </w:hyperlink>
      <w:r>
        <w:rPr/>
        <w:t xml:space="preserve"> when an artifact fails in practice, a checklist is missing a question, a passage does not survive translation, you find an error, or you have an improvement to suggest. The authors will read every message. Institutions adopting the framework can use the same address to arrange a conversation with the authors about implementation, at no charge. A contribution that leads to a material change in a checklist, clause, or definition is acknowledged in a later version, with the contributor’s consent.</w:t>
      </w:r>
    </w:p>
    <w:p>
      <w:pPr>
        <w:pStyle w:val="Normal"/>
        <w:rPr/>
      </w:pPr>
      <w:r>
        <w:rPr>
          <w:b/>
          <w:bCs/>
        </w:rPr>
        <w:t>Versions and downloads.</w:t>
      </w:r>
      <w:r>
        <w:rPr/>
        <w:t xml:space="preserve"> This is Version 1.0. Every file, including the editable artifacts, is free to download from </w:t>
      </w:r>
      <w:hyperlink r:id="rId16">
        <w:r>
          <w:rPr>
            <w:rStyle w:val="Hyperlink"/>
          </w:rPr>
          <w:t>ystech.io/ai-governance</w:t>
        </w:r>
      </w:hyperlink>
      <w:r>
        <w:rPr/>
        <w:t xml:space="preserve"> without registration. Revised versions are published there with a version history that records what changed and why. The publisher decides revisions. Earlier versions remain available, so each institution decides when to move to a new version; the system register (Artifact 7.11) records the version it adopted.</w:t>
      </w:r>
    </w:p>
    <w:p>
      <w:pPr>
        <w:pStyle w:val="Normal"/>
        <w:widowControl/>
        <w:bidi w:val="0"/>
        <w:spacing w:lineRule="auto" w:line="259" w:before="0" w:after="100"/>
        <w:jc w:val="left"/>
        <w:rPr/>
      </w:pPr>
      <w:r>
        <w:rPr>
          <w:b/>
          <w:bCs/>
        </w:rPr>
        <w:t>Translations.</w:t>
      </w:r>
      <w:r>
        <w:rPr/>
        <w:t xml:space="preserve"> Community translations are welcome under the licence and will be linked from the framework page. A translation is official only when the publisher has commissioned and checked it, and every translation states the version it was made from.</w:t>
      </w:r>
      <w:bookmarkEnd w:id="5"/>
      <w:bookmarkEnd w:id="17"/>
    </w:p>
    <w:sectPr>
      <w:headerReference w:type="default" r:id="rId17"/>
      <w:headerReference w:type="first" r:id="rId18"/>
      <w:footerReference w:type="default" r:id="rId19"/>
      <w:footerReference w:type="first" r:id="rId20"/>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4</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6</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12</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
    <w:lvl w:ilvl="0">
      <w:start w:val="11"/>
      <w:numFmt w:val="decimal"/>
      <w:lvlText w:val="%1."/>
      <w:lvlJc w:val="left"/>
      <w:pPr>
        <w:tabs>
          <w:tab w:val="num" w:pos="0"/>
        </w:tabs>
        <w:ind w:left="720" w:hanging="480"/>
      </w:pPr>
      <w:rPr/>
    </w:lvl>
    <w:lvl w:ilvl="1">
      <w:start w:val="11"/>
      <w:numFmt w:val="decimal"/>
      <w:lvlText w:val="%2."/>
      <w:lvlJc w:val="left"/>
      <w:pPr>
        <w:tabs>
          <w:tab w:val="num" w:pos="0"/>
        </w:tabs>
        <w:ind w:left="1440" w:hanging="480"/>
      </w:pPr>
      <w:rPr/>
    </w:lvl>
    <w:lvl w:ilvl="2">
      <w:start w:val="11"/>
      <w:numFmt w:val="decimal"/>
      <w:lvlText w:val="%3."/>
      <w:lvlJc w:val="left"/>
      <w:pPr>
        <w:tabs>
          <w:tab w:val="num" w:pos="0"/>
        </w:tabs>
        <w:ind w:left="2160" w:hanging="480"/>
      </w:pPr>
      <w:rPr/>
    </w:lvl>
    <w:lvl w:ilvl="3">
      <w:start w:val="11"/>
      <w:numFmt w:val="decimal"/>
      <w:lvlText w:val="%4."/>
      <w:lvlJc w:val="left"/>
      <w:pPr>
        <w:tabs>
          <w:tab w:val="num" w:pos="0"/>
        </w:tabs>
        <w:ind w:left="2880" w:hanging="480"/>
      </w:pPr>
      <w:rPr/>
    </w:lvl>
    <w:lvl w:ilvl="4">
      <w:start w:val="11"/>
      <w:numFmt w:val="decimal"/>
      <w:lvlText w:val="%5."/>
      <w:lvlJc w:val="left"/>
      <w:pPr>
        <w:tabs>
          <w:tab w:val="num" w:pos="0"/>
        </w:tabs>
        <w:ind w:left="3600" w:hanging="480"/>
      </w:pPr>
      <w:rPr/>
    </w:lvl>
    <w:lvl w:ilvl="5">
      <w:start w:val="11"/>
      <w:numFmt w:val="decimal"/>
      <w:lvlText w:val="%6."/>
      <w:lvlJc w:val="left"/>
      <w:pPr>
        <w:tabs>
          <w:tab w:val="num" w:pos="0"/>
        </w:tabs>
        <w:ind w:left="4320" w:hanging="480"/>
      </w:pPr>
      <w:rPr/>
    </w:lvl>
    <w:lvl w:ilvl="6">
      <w:start w:val="11"/>
      <w:numFmt w:val="decimal"/>
      <w:lvlText w:val="%7."/>
      <w:lvlJc w:val="left"/>
      <w:pPr>
        <w:tabs>
          <w:tab w:val="num" w:pos="0"/>
        </w:tabs>
        <w:ind w:left="5040" w:hanging="480"/>
      </w:pPr>
      <w:rPr/>
    </w:lvl>
    <w:lvl w:ilvl="7">
      <w:start w:val="11"/>
      <w:numFmt w:val="decimal"/>
      <w:lvlText w:val="%8."/>
      <w:lvlJc w:val="left"/>
      <w:pPr>
        <w:tabs>
          <w:tab w:val="num" w:pos="0"/>
        </w:tabs>
        <w:ind w:left="5760" w:hanging="480"/>
      </w:pPr>
      <w:rPr/>
    </w:lvl>
    <w:lvl w:ilvl="8">
      <w:start w:val="11"/>
      <w:numFmt w:val="decimal"/>
      <w:lvlText w:val="%9."/>
      <w:lvlJc w:val="left"/>
      <w:pPr>
        <w:tabs>
          <w:tab w:val="num" w:pos="0"/>
        </w:tabs>
        <w:ind w:left="6480" w:hanging="4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1"/>
  </w:num>
  <w:num w:numId="48">
    <w:abstractNumId w:val="1"/>
  </w:num>
  <w:num w:numId="49">
    <w:abstractNumId w:val="1"/>
  </w:num>
  <w:num w:numId="50">
    <w:abstractNumId w:val="1"/>
  </w:num>
  <w:num w:numId="51">
    <w:abstractNumId w:val="1"/>
  </w:num>
  <w:num w:numId="52">
    <w:abstractNumId w:val="1"/>
  </w:num>
  <w:num w:numId="53">
    <w:abstractNumId w:val="1"/>
  </w:num>
  <w:num w:numId="54">
    <w:abstractNumId w:val="1"/>
  </w:num>
  <w:num w:numId="55">
    <w:abstractNumId w:val="1"/>
  </w:num>
  <w:num w:numId="56">
    <w:abstractNumId w:val="1"/>
  </w:num>
  <w:num w:numId="57">
    <w:abstractNumId w:val="1"/>
  </w:num>
  <w:num w:numId="58">
    <w:abstractNumId w:val="1"/>
  </w:num>
  <w:num w:numId="59">
    <w:abstractNumId w:val="1"/>
  </w:num>
  <w:num w:numId="60">
    <w:abstractNumId w:val="1"/>
  </w:num>
  <w:num w:numId="61">
    <w:abstractNumId w:val="1"/>
  </w:num>
  <w:num w:numId="62">
    <w:abstractNumId w:val="1"/>
  </w:num>
  <w:num w:numId="63">
    <w:abstractNumId w:val="3"/>
    <w:lvlOverride w:ilvl="0">
      <w:startOverride w:val="1"/>
    </w:lvlOverride>
  </w:num>
  <w:num w:numId="64">
    <w:abstractNumId w:val="4"/>
    <w:lvlOverride w:ilvl="0">
      <w:startOverride w:val="11"/>
    </w:lvlOverride>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Pr>
      <w:color w:val="1F4E79"/>
      <w:u w:val="single"/>
    </w:rPr>
  </w:style>
  <w:style w:type="paragraph" w:styleId="Title">
    <w:name w:val="Title"/>
    <w:basedOn w:val="Normal"/>
    <w:next w:val="Normal"/>
    <w:uiPriority w:val="10"/>
    <w:qFormat/>
    <w:pPr>
      <w:spacing w:lineRule="auto" w:line="240" w:before="0" w:after="240"/>
    </w:pPr>
    <w:rPr>
      <w:b/>
      <w:bCs/>
      <w:color w:val="1F3864"/>
      <w:kern w:val="2"/>
      <w:sz w:val="60"/>
      <w:szCs w:val="60"/>
    </w:rPr>
  </w:style>
  <w:style w:type="paragraph" w:styleId="Subtitle">
    <w:name w:val="Subtitle"/>
    <w:basedOn w:val="Normal"/>
    <w:next w:val="Normal"/>
    <w:uiPriority w:val="11"/>
    <w:qFormat/>
    <w:pPr>
      <w:spacing w:lineRule="auto" w:line="264" w:before="0" w:after="600"/>
    </w:pPr>
    <w:rPr>
      <w:color w:val="404040"/>
      <w:sz w:val="30"/>
      <w:szCs w:val="30"/>
    </w:rPr>
  </w:style>
  <w:style w:type="paragraph" w:styleId="Coverversion" w:customStyle="1">
    <w:name w:val="Cover version"/>
    <w:basedOn w:val="Normal"/>
    <w:qFormat/>
    <w:pPr>
      <w:spacing w:before="0" w:after="60"/>
    </w:pPr>
    <w:rPr>
      <w:b/>
      <w:bCs/>
      <w:color w:val="1F3864"/>
      <w:sz w:val="28"/>
      <w:szCs w:val="28"/>
    </w:rPr>
  </w:style>
  <w:style w:type="paragraph" w:styleId="Coverdate" w:customStyle="1">
    <w:name w:val="Cover date"/>
    <w:basedOn w:val="Normal"/>
    <w:qFormat/>
    <w:pPr>
      <w:spacing w:before="0" w:after="120"/>
    </w:pPr>
    <w:rPr>
      <w:sz w:val="24"/>
      <w:szCs w:val="24"/>
    </w:rPr>
  </w:style>
  <w:style w:type="paragraph" w:styleId="Coverdetails" w:customStyle="1">
    <w:name w:val="Cover details"/>
    <w:basedOn w:val="Normal"/>
    <w:qFormat/>
    <w:pPr>
      <w:spacing w:before="0" w:after="160"/>
    </w:pPr>
    <w:rPr>
      <w:color w:val="404040"/>
      <w:sz w:val="19"/>
      <w:szCs w:val="19"/>
    </w:rPr>
  </w:style>
  <w:style w:type="paragraph" w:styleId="ListParagraph">
    <w:name w:val="List Paragraph"/>
    <w:basedOn w:val="Normal"/>
    <w:uiPriority w:val="34"/>
    <w:qFormat/>
    <w:pPr>
      <w:spacing w:before="0" w:after="60"/>
      <w:ind w:left="720"/>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i.org/10.5281/zenodo.22986774" TargetMode="External"/><Relationship Id="rId3" Type="http://schemas.openxmlformats.org/officeDocument/2006/relationships/hyperlink" Target="https://ystech.io/ai-governance"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yperlink" Target="https://doi.org/10.5281/zenodo.22986774" TargetMode="External"/><Relationship Id="rId15" Type="http://schemas.openxmlformats.org/officeDocument/2006/relationships/hyperlink" Target="mailto:anuuj@ystech.io" TargetMode="External"/><Relationship Id="rId16" Type="http://schemas.openxmlformats.org/officeDocument/2006/relationships/hyperlink" Target="https://ystech.io/ai-governance" TargetMode="Externa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12</Pages>
  <Words>4922</Words>
  <Characters>27254</Characters>
  <CharactersWithSpaces>31919</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2026-09-29T14:49:26Z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2026-09-29T14:49:26Z</dcterms:modified>
  <cp:revision>1</cp:revision>
  <dc:subject>An operating manual for institutions that buy, deploy, and run AI systems</dc:subject>
  <dc:title>Open AI Governance and Deployment Framework, Version 1.0. Front and back matter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