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module-2-risk-tiering"/>
      <w:r>
        <w:rPr/>
        <w:t>Module 2: Risk tiering</w:t>
      </w:r>
    </w:p>
    <w:p>
      <w:pPr>
        <w:pStyle w:val="Normal"/>
        <w:rPr/>
      </w:pPr>
      <w:r>
        <w:rPr/>
        <w:t>Your institution has more AI use cases than governance capacity, and no defensible way to decide which ones get the full treatment. This module gives you a classification method one person can run in an afternoon. It produces a signed record of each system’s risk tier, and the tier tells you how much governance the system must carry.</w:t>
      </w:r>
    </w:p>
    <w:p>
      <w:pPr>
        <w:pStyle w:val="Normal"/>
        <w:rPr/>
      </w:pPr>
      <w:r>
        <w:rPr/>
        <w:t>Read sections 2.1 to 2.4 (about twenty minutes), walk through the three worked examples in 2.5, then classify your own systems with the worksheet (Artifact 2). Classify every AI use in the institution, including the free tools staff have adopted on their own, and including systems already live.</w:t>
      </w:r>
    </w:p>
    <w:p>
      <w:pPr>
        <w:pStyle w:val="Heading2"/>
        <w:rPr/>
      </w:pPr>
      <w:bookmarkStart w:id="1" w:name="why-tiering-comes-first"/>
      <w:r>
        <w:rPr/>
        <w:t>2.1 Why tiering comes first</w:t>
      </w:r>
    </w:p>
    <w:p>
      <w:pPr>
        <w:pStyle w:val="Normal"/>
        <w:rPr/>
      </w:pPr>
      <w:r>
        <w:rPr/>
        <w:t>Between 2005 and 2019, the tax administration of the Netherlands wrongly accused roughly 26,000 parents of making fraudulent childcare benefit claims and ordered them to repay benefits in full, in many cases tens of thousands of euros. Families were driven into debt and hardship. Part of the machinery was a self-learning risk classification model: it scored benefit claims for fraud risk, and officials concentrated their scrutiny on the claims the model ranked highest. The Dutch Data Protection Authority later found that the system had used nationality as a risk factor and that the processing was discriminatory and unlawful, and in 2021 fined the tax administration 2.75 million euros. A parliamentary inquiry concluded that fundamental principles of the rule of law had been violated. On 15 January 2021, the Dutch cabinet resigned over the affair. (Sources in the references at the end of this module.)</w:t>
      </w:r>
    </w:p>
    <w:p>
      <w:pPr>
        <w:pStyle w:val="Normal"/>
        <w:rPr/>
      </w:pPr>
      <w:r>
        <w:rPr/>
        <w:t>A model that scored families for fraud, where a high score could trigger investigation, repayment demands, and the loss of benefits, was run with the governance you might give an internal reporting tool. The institution lacked a step where someone wrote down, before the system ran at scale: this system makes adverse calls about people’s money and legal standing, so it belongs in our highest risk class, and here is the oversight, the input scrutiny, and the appeal channel that class requires. Everything this framework prescribes downstream (the roles in Module 3, the vendor demands in Module 4, the monitoring and the appeal channel in Module 6) is dosed by that classification.</w:t>
      </w:r>
    </w:p>
    <w:p>
      <w:pPr>
        <w:pStyle w:val="Normal"/>
        <w:rPr/>
      </w:pPr>
      <w:r>
        <w:rPr/>
        <w:t>Your capacity is finite. If every AI use requires the full framework, your institution will quietly stop following the framework, and the decision about what gets governed will be made by fatigue.</w:t>
      </w:r>
    </w:p>
    <w:p>
      <w:pPr>
        <w:pStyle w:val="Boxtext"/>
        <w:rPr/>
      </w:pPr>
      <w:r>
        <w:rPr>
          <w:b/>
          <w:bCs/>
        </w:rPr>
        <w:t>Classify the use, and classify it by the riskiest realistic use.</w:t>
      </w:r>
      <w:r>
        <w:rPr/>
        <w:t xml:space="preserve"> The same product can sit in different tiers in different uses: a general-purpose chat assistant is one thing drafting internal minutes and a different thing answering benefit claimants. The tier belongs to the use case. And the tier is set by the riskiest use that will realistically occur, which is a question about your institution’s behaviour rather than the vendor’s intentions. If the “decision support” tool’s suggestions will, on a busy Friday, be accepted unread, classify the Friday version.</w:t>
      </w:r>
      <w:bookmarkEnd w:id="1"/>
    </w:p>
    <w:p>
      <w:pPr>
        <w:pStyle w:val="Heading2"/>
        <w:rPr/>
      </w:pPr>
      <w:bookmarkStart w:id="2" w:name="the-method"/>
      <w:r>
        <w:rPr/>
        <w:t>2.2 The method</w:t>
      </w:r>
    </w:p>
    <w:p>
      <w:pPr>
        <w:pStyle w:val="Normal"/>
        <w:rPr/>
      </w:pPr>
      <w:r>
        <w:rPr/>
        <w:t>The method is designed to take one system and one afternoon (a framework default; your first few will run longer). You will check one list and answer the questions below, in order, and the answers place the use case in one of four tiers. A second person then confirms the classification; Step 5 says who.</w:t>
      </w:r>
    </w:p>
    <w:p>
      <w:pPr>
        <w:pStyle w:val="Normal"/>
        <w:rPr/>
      </w:pPr>
      <w:r>
        <w:rPr>
          <w:b/>
          <w:bCs/>
        </w:rPr>
        <w:t>Step 1. Check the escalation list.</w:t>
      </w:r>
      <w:r>
        <w:rPr/>
        <w:t xml:space="preserve"> A small number of uses should never be classified and deployed on your own authority, because they are legally restricted or outright prohibited in a growing number of jurisdictions, and because their failure modes exceed what this framework’s controls can contain. If the use case does any of the following, stop here and mark it </w:t>
      </w:r>
      <w:r>
        <w:rPr>
          <w:b/>
          <w:bCs/>
        </w:rPr>
        <w:t>Tier 1: escalate</w:t>
      </w:r>
      <w:r>
        <w:rPr/>
        <w:t>:</w:t>
      </w:r>
    </w:p>
    <w:p>
      <w:pPr>
        <w:pStyle w:val="ListParagraph"/>
        <w:numPr>
          <w:ilvl w:val="0"/>
          <w:numId w:val="1"/>
        </w:numPr>
        <w:rPr/>
      </w:pPr>
      <w:r>
        <w:rPr/>
        <w:t>Scores or ranks people’s general trustworthiness or social behaviour across contexts (social scoring).</w:t>
      </w:r>
    </w:p>
    <w:p>
      <w:pPr>
        <w:pStyle w:val="ListParagraph"/>
        <w:numPr>
          <w:ilvl w:val="0"/>
          <w:numId w:val="1"/>
        </w:numPr>
        <w:rPr/>
      </w:pPr>
      <w:r>
        <w:rPr/>
        <w:t>Identifies people biometrically in public spaces, or categorises people by biometric data.</w:t>
      </w:r>
    </w:p>
    <w:p>
      <w:pPr>
        <w:pStyle w:val="ListParagraph"/>
        <w:numPr>
          <w:ilvl w:val="0"/>
          <w:numId w:val="1"/>
        </w:numPr>
        <w:rPr/>
      </w:pPr>
      <w:r>
        <w:rPr/>
        <w:t>Infers emotions, or infers protected characteristics such as ethnicity, religion, or sexual orientation, about employees, students, or the public.</w:t>
      </w:r>
    </w:p>
    <w:p>
      <w:pPr>
        <w:pStyle w:val="ListParagraph"/>
        <w:numPr>
          <w:ilvl w:val="0"/>
          <w:numId w:val="1"/>
        </w:numPr>
        <w:rPr/>
      </w:pPr>
      <w:r>
        <w:rPr/>
        <w:t>Makes adverse decisions about people fully automatically, with no human review of the individual decision and no route of appeal.</w:t>
      </w:r>
    </w:p>
    <w:p>
      <w:pPr>
        <w:pStyle w:val="ListParagraph"/>
        <w:numPr>
          <w:ilvl w:val="0"/>
          <w:numId w:val="1"/>
        </w:numPr>
        <w:rPr/>
      </w:pPr>
      <w:r>
        <w:rPr/>
        <w:t xml:space="preserve">Is known to be prohibited or restricted by a law that applies to you; if you do not know, do not decide: mark the status unknown and route the worksheet to legal review. </w:t>
      </w:r>
      <w:r>
        <w:rPr>
          <w:b/>
          <w:bCs/>
        </w:rPr>
        <w:t>Check locally:</w:t>
      </w:r>
      <w:r>
        <w:rPr/>
        <w:t xml:space="preserve"> the EU AI Act prohibits several practices of this kind and heavily regulates others, and other jurisdictions have their own lists. Your escalation list should grow to match your law; it should never shrink below the list above.</w:t>
      </w:r>
    </w:p>
    <w:p>
      <w:pPr>
        <w:pStyle w:val="Normal"/>
        <w:rPr/>
      </w:pPr>
      <w:r>
        <w:rPr/>
        <w:t>A Tier 1 use proceeds only after review by qualified legal counsel and a relevant specialist, on a written record, with leadership’s explicit sign-off, and this framework alone is insufficient for it.</w:t>
      </w:r>
    </w:p>
    <w:p>
      <w:pPr>
        <w:pStyle w:val="Normal"/>
        <w:rPr/>
      </w:pPr>
      <w:r>
        <w:rPr>
          <w:b/>
          <w:bCs/>
        </w:rPr>
        <w:t>Step 2. The decision question.</w:t>
      </w:r>
      <w:r>
        <w:rPr/>
        <w:t xml:space="preserve"> </w:t>
      </w:r>
      <w:r>
        <w:rPr>
          <w:i/>
          <w:iCs/>
        </w:rPr>
        <w:t>Does the system inform or make decisions that can be adverse to an identifiable person?</w:t>
      </w:r>
      <w:r>
        <w:rPr/>
        <w:t xml:space="preserve"> Adverse means the person can lose something that matters: access to care, money or credit, benefits, housing, education, employment, essential services, legal standing, or liberty. “Inform” counts the same as “make”: a score that a human reads before deciding still shapes the decision.</w:t>
      </w:r>
    </w:p>
    <w:p>
      <w:pPr>
        <w:pStyle w:val="Normal"/>
        <w:rPr/>
      </w:pPr>
      <w:r>
        <w:rPr/>
        <w:t xml:space="preserve">If yes: the use case is </w:t>
      </w:r>
      <w:r>
        <w:rPr>
          <w:b/>
          <w:bCs/>
        </w:rPr>
        <w:t>Tier 2: high stakes</w:t>
      </w:r>
      <w:r>
        <w:rPr/>
        <w:t>. Go to the modifiers in Step 4.</w:t>
      </w:r>
    </w:p>
    <w:p>
      <w:pPr>
        <w:pStyle w:val="Normal"/>
        <w:rPr/>
      </w:pPr>
      <w:r>
        <w:rPr>
          <w:b/>
          <w:bCs/>
        </w:rPr>
        <w:t>Step 3. The dependence question.</w:t>
      </w:r>
      <w:r>
        <w:rPr/>
        <w:t xml:space="preserve"> </w:t>
      </w:r>
      <w:r>
        <w:rPr>
          <w:i/>
          <w:iCs/>
        </w:rPr>
        <w:t>Do the system’s outputs steer operations that people depend on, without deciding about any identifiable person?</w:t>
      </w:r>
      <w:r>
        <w:rPr/>
        <w:t xml:space="preserve"> Demand forecasts, maintenance prioritisation, network optimisation, inventory and staffing projections: nobody is scored, but the lights, the water, the supplies, and the rosters follow the output.</w:t>
      </w:r>
    </w:p>
    <w:p>
      <w:pPr>
        <w:pStyle w:val="Normal"/>
        <w:rPr/>
      </w:pPr>
      <w:r>
        <w:rPr/>
        <w:t xml:space="preserve">If yes: </w:t>
      </w:r>
      <w:r>
        <w:rPr>
          <w:b/>
          <w:bCs/>
        </w:rPr>
        <w:t>Tier 3: operational.</w:t>
      </w:r>
      <w:r>
        <w:rPr/>
        <w:t xml:space="preserve"> If no, meaning the system’s outputs stay inside a workflow where a wrong output costs rework rather than harm (drafting aids, internal search, summarisation, translation for internal use, code assistance with human review): </w:t>
      </w:r>
      <w:r>
        <w:rPr>
          <w:b/>
          <w:bCs/>
        </w:rPr>
        <w:t>Tier 4: low stakes.</w:t>
      </w:r>
      <w:r>
        <w:rPr/>
        <w:t xml:space="preserve"> Go to Step 4 either way.</w:t>
      </w:r>
    </w:p>
    <w:p>
      <w:pPr>
        <w:pStyle w:val="Normal"/>
        <w:rPr/>
      </w:pPr>
      <w:r>
        <w:rPr>
          <w:b/>
          <w:bCs/>
        </w:rPr>
        <w:t>Step 4. Two modifiers.</w:t>
      </w:r>
      <w:r>
        <w:rPr/>
        <w:t xml:space="preserve"> These move a case up a tier. Nothing moves a case down.</w:t>
      </w:r>
    </w:p>
    <w:p>
      <w:pPr>
        <w:pStyle w:val="ListParagraph"/>
        <w:numPr>
          <w:ilvl w:val="0"/>
          <w:numId w:val="11"/>
        </w:numPr>
        <w:rPr/>
      </w:pPr>
      <w:r>
        <w:rPr>
          <w:b/>
          <w:bCs/>
        </w:rPr>
        <w:t>The autonomy modifier.</w:t>
      </w:r>
      <w:r>
        <w:rPr/>
        <w:t xml:space="preserve"> Will individual outputs take effect without a human reviewing them first? At Tier 3 or Tier 4, this moves the case up one tier. At Tier 2, an adverse decision about a person with no individual human review belongs on the escalation list in Step 1; treat it as Tier 1. </w:t>
      </w:r>
      <w:r>
        <w:rPr>
          <w:b/>
          <w:bCs/>
        </w:rPr>
        <w:t>Check locally:</w:t>
      </w:r>
      <w:r>
        <w:rPr/>
        <w:t xml:space="preserve"> many data protection laws restrict fully automated decisions with significant effects on people and grant rights to human review.</w:t>
      </w:r>
    </w:p>
    <w:p>
      <w:pPr>
        <w:pStyle w:val="ListParagraph"/>
        <w:numPr>
          <w:ilvl w:val="0"/>
          <w:numId w:val="12"/>
        </w:numPr>
        <w:rPr/>
      </w:pPr>
      <w:r>
        <w:rPr>
          <w:b/>
          <w:bCs/>
        </w:rPr>
        <w:t>The detectability modifier.</w:t>
      </w:r>
      <w:r>
        <w:rPr/>
        <w:t xml:space="preserve"> If the system produced a wrong output, would anyone notice within days? A forecast is checked against reality every morning. A patient the triage tool failed to flag is invisible because nobody was told to look. If wrong outputs would likely go unnoticed, move a Tier 3 or Tier 4 case up one tier. At Tier 2, low detectability changes the controls rather than the tier: it mandates the strict path in Module 6 (shadow mode before go-live, and monitoring designed to count the failures that produce no alert, both defined there).</w:t>
      </w:r>
    </w:p>
    <w:p>
      <w:pPr>
        <w:pStyle w:val="Normal"/>
        <w:rPr/>
      </w:pPr>
      <w:r>
        <w:rPr>
          <w:b/>
          <w:bCs/>
        </w:rPr>
        <w:t>Step 5. Record and sign.</w:t>
      </w:r>
      <w:r>
        <w:rPr/>
        <w:t xml:space="preserve"> Write the answers on the worksheet (Artifact 2), with one sentence of reasoning per step. The person who classified signs. A second person confirms and signs: for Tier 2, the System Owner named under Module 3; below Tier 2, a peer outside the proposing team. File the worksheet in the system register (Module 7) and set the review date from the table below.</w:t>
      </w:r>
      <w:bookmarkEnd w:id="2"/>
    </w:p>
    <w:p>
      <w:pPr>
        <w:pStyle w:val="Heading2"/>
        <w:rPr/>
      </w:pPr>
      <w:bookmarkStart w:id="3" w:name="X5aeec4ea42ee8510cbef545cfda7530466ea599"/>
      <w:r>
        <w:rPr/>
        <w:t>2.3 The four tiers and what each one requires</w:t>
      </w:r>
    </w:p>
    <w:p>
      <w:pPr>
        <w:pStyle w:val="ListParagraph"/>
        <w:numPr>
          <w:ilvl w:val="0"/>
          <w:numId w:val="13"/>
        </w:numPr>
        <w:rPr/>
      </w:pPr>
      <w:r>
        <w:rPr>
          <w:b/>
          <w:bCs/>
        </w:rPr>
        <w:t>Tier 1, escalate.</w:t>
      </w:r>
      <w:r>
        <w:rPr/>
        <w:t xml:space="preserve"> A social scoring proposal; workplace emotion monitoring; fully automated benefit denials. Requires legal and specialist review before anything else happens.</w:t>
      </w:r>
    </w:p>
    <w:p>
      <w:pPr>
        <w:pStyle w:val="ListParagraph"/>
        <w:numPr>
          <w:ilvl w:val="0"/>
          <w:numId w:val="14"/>
        </w:numPr>
        <w:rPr/>
      </w:pPr>
      <w:r>
        <w:rPr>
          <w:b/>
          <w:bCs/>
        </w:rPr>
        <w:t>Tier 2, high stakes.</w:t>
      </w:r>
      <w:r>
        <w:rPr/>
        <w:t xml:space="preserve"> A patient deterioration alert in a hospital; a fraud risk flag in a benefits ministry; loan pre-screening in a bank; an exam grading tool in a school system; a chatbot answering the public’s questions about their own entitlements.</w:t>
      </w:r>
    </w:p>
    <w:p>
      <w:pPr>
        <w:pStyle w:val="ListParagraph"/>
        <w:numPr>
          <w:ilvl w:val="0"/>
          <w:numId w:val="15"/>
        </w:numPr>
        <w:rPr/>
      </w:pPr>
      <w:r>
        <w:rPr>
          <w:b/>
          <w:bCs/>
        </w:rPr>
        <w:t>Tier 3, operational.</w:t>
      </w:r>
      <w:r>
        <w:rPr/>
        <w:t xml:space="preserve"> An electricity load forecast in a utility; predictive maintenance on water pumps; demand forecasting for medical supplies; staffing projections.</w:t>
      </w:r>
    </w:p>
    <w:p>
      <w:pPr>
        <w:pStyle w:val="ListParagraph"/>
        <w:numPr>
          <w:ilvl w:val="0"/>
          <w:numId w:val="16"/>
        </w:numPr>
        <w:rPr/>
      </w:pPr>
      <w:r>
        <w:rPr>
          <w:b/>
          <w:bCs/>
        </w:rPr>
        <w:t>Tier 4, low stakes.</w:t>
      </w:r>
      <w:r>
        <w:rPr/>
        <w:t xml:space="preserve"> A meeting minutes summariser; internal document search; a drafting assistant whose output a named human edits and owns; code completion with human review.</w:t>
      </w:r>
    </w:p>
    <w:p>
      <w:pPr>
        <w:pStyle w:val="Normal"/>
        <w:rPr/>
      </w:pPr>
      <w:r>
        <w:rPr/>
        <w:t>Why four tiers: three collapses the operational middle, so forecasting tools would share a tier either with drafting aids or with adverse decisions about people, and both mistakes are costly in opposite directions. Five or more exceeds what one person can classify in an afternoon and what an institution can realistically staff differently. Four is the smallest number that separates the uses this framework must treat differently. It is a design choice of this framework, and where a law that applies to you defines its own categories, the law’s categories govern.</w:t>
      </w:r>
    </w:p>
    <w:p>
      <w:pPr>
        <w:pStyle w:val="Normal"/>
        <w:keepNext w:val="true"/>
        <w:rPr/>
      </w:pPr>
      <w:r>
        <w:rPr>
          <w:b/>
          <w:bCs/>
        </w:rPr>
        <w:t>The governance load, by tier.</w:t>
      </w:r>
      <w:r>
        <w:rPr/>
        <w:t xml:space="preserve"> Each cell points to the module that defines the requirement.</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584"/>
        <w:gridCol w:w="2303"/>
        <w:gridCol w:w="2248"/>
        <w:gridCol w:w="2162"/>
      </w:tblGrid>
      <w:tr>
        <w:trPr>
          <w:tblHeader w:val="true"/>
          <w:cantSplit w:val="true"/>
        </w:trPr>
        <w:tc>
          <w:tcPr>
            <w:tcW w:w="258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Requirement</w:t>
            </w:r>
          </w:p>
        </w:tc>
        <w:tc>
          <w:tcPr>
            <w:tcW w:w="230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2</w:t>
            </w:r>
          </w:p>
        </w:tc>
        <w:tc>
          <w:tcPr>
            <w:tcW w:w="224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3</w:t>
            </w:r>
          </w:p>
        </w:tc>
        <w:tc>
          <w:tcPr>
            <w:tcW w:w="216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4</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Classification worksheet signed and confirmed (this module)</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Yes, confirmed by the System Owner</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Yes, peer confirmed</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Yes, peer confirmed</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roles (Module 3)</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All four roles</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Operational Lead, and Data Steward</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(can hold a portfolio of Tier 4 tools) and Operational Lead</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Procurement path (Module 4)</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Full module, checklist at Tier 2 threshold</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Documentation core plus six clauses (Module 4.6)</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Short path: three questions, three clauses (Module 4.6)</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checklist before deployment (Module 5)</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Full checklist, signed by the Data Steward</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Full checklist</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questions from the short path</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validation on your own data (Module 6)</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shadow mode first where detectability is low</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lightweight</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Recommended for tools in wide use</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in service (Module 6)</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Monthly review as default; weekly where detectability is low; thresholds written before go-live</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Monthly against actuals</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Annual sanity check</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Appeal channel (Module 6)</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published to affected people</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only if outputs later touch people (which re-tiers the case)</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response plan (Module 6)</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before go-live</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may be the institution’s standard IT process plus the Module 6 additions</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Institution’s standard IT process</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Exit plan and contract exit rights (Modules 4 and 6)</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before signature</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before signature</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Export and deletion confirmed before rollout</w:t>
            </w:r>
          </w:p>
        </w:tc>
      </w:tr>
      <w:tr>
        <w:trPr>
          <w:cantSplit w:val="true"/>
        </w:trPr>
        <w:tc>
          <w:tcPr>
            <w:tcW w:w="258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Re-classification review</w:t>
            </w:r>
          </w:p>
        </w:tc>
        <w:tc>
          <w:tcPr>
            <w:tcW w:w="230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12 months and on any trigger in 2.4</w:t>
            </w:r>
          </w:p>
        </w:tc>
        <w:tc>
          <w:tcPr>
            <w:tcW w:w="22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12 months and on any trigger</w:t>
            </w:r>
          </w:p>
        </w:tc>
        <w:tc>
          <w:tcPr>
            <w:tcW w:w="21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24 months and on any trigger</w:t>
            </w:r>
          </w:p>
        </w:tc>
      </w:tr>
    </w:tbl>
    <w:p>
      <w:pPr>
        <w:pStyle w:val="Normal"/>
        <w:spacing w:before="160" w:after="100"/>
        <w:rPr/>
      </w:pPr>
      <w:bookmarkStart w:id="4" w:name="X5aeec4ea42ee8510cbef545cfda7530466ea599"/>
      <w:r>
        <w:rPr/>
        <w:t>For a single Tier 2 system in steady operation, the recurring load in this table is measured in hours per month, and Module 3 states the hours per role. The one-time load (validation, go-live) runs from contract signature to full go-live in typically three to six months of elapsed time for a Tier 2 system (a framework default), with the stage durations set in Module 6. If leadership wants the system live sooner, the table is the list of what they are choosing to skip, in writing.</w:t>
      </w:r>
      <w:bookmarkEnd w:id="4"/>
    </w:p>
    <w:p>
      <w:pPr>
        <w:pStyle w:val="Heading2"/>
        <w:rPr/>
      </w:pPr>
      <w:bookmarkStart w:id="5" w:name="edge-cases-and-rules"/>
      <w:r>
        <w:rPr/>
        <w:t>2.4 Edge cases and rules</w:t>
      </w:r>
    </w:p>
    <w:p>
      <w:pPr>
        <w:pStyle w:val="Normal"/>
        <w:rPr/>
      </w:pPr>
      <w:r>
        <w:rPr>
          <w:b/>
          <w:bCs/>
        </w:rPr>
        <w:t>1. General-purpose tools are classified per use, and the uses multiply.</w:t>
      </w:r>
      <w:r>
        <w:rPr/>
        <w:t xml:space="preserve"> A chat assistant procured for drafting (Tier 4) will be used, within weeks, by someone answering a citizen’s query or summarising a case file. Handle this by pairing every general-purpose deployment with a one-paragraph acceptable-use note derived from its tier: written in the language of tasks (“use it to draft and summarise internal documents; do not paste personal data into it; do not use its output as the answer given to a member of the public without a named person checking it”). The note is shown to every user when their account is created and again at first login, and the Operational Lead keeps the current version. When a new use appears that the note excludes, that use gets its own worksheet. Finding the tools nobody procured is Module 7’s first week: the software asset inventory, the identity provider’s list of connected applications, accounts payable records, and a direct question to every department head, repeated once. The rule that makes discovery matter is enforceable because it names the data rather than the tool: tools with no data commitments get no institutional data (Module 4.6).</w:t>
      </w:r>
    </w:p>
    <w:p>
      <w:pPr>
        <w:pStyle w:val="Normal"/>
        <w:rPr/>
      </w:pPr>
      <w:r>
        <w:rPr>
          <w:b/>
          <w:bCs/>
        </w:rPr>
        <w:t>2. Aggregation moves tiers.</w:t>
      </w:r>
      <w:r>
        <w:rPr/>
        <w:t xml:space="preserve"> One AI-drafted reply is Tier 4. The same tool wired to answer all correspondence, with humans sampling a fraction, has become the institution’s voice and decision channel, and belongs in Tier 2. Volume and integration change the classification even when the product is unchanged.</w:t>
      </w:r>
    </w:p>
    <w:p>
      <w:pPr>
        <w:pStyle w:val="Normal"/>
        <w:rPr/>
      </w:pPr>
      <w:r>
        <w:rPr>
          <w:b/>
          <w:bCs/>
        </w:rPr>
        <w:t>3. Advice is a decision when people act on it.</w:t>
      </w:r>
      <w:r>
        <w:rPr/>
        <w:t xml:space="preserve"> A public-facing chatbot that “only provides information” about benefits, health services, or legal processes is making Tier 2 outputs the moment people arrange their affairs around its answers. Classify it by what the reader does with the answer.</w:t>
      </w:r>
    </w:p>
    <w:p>
      <w:pPr>
        <w:pStyle w:val="Normal"/>
        <w:rPr/>
      </w:pPr>
      <w:r>
        <w:rPr>
          <w:b/>
          <w:bCs/>
        </w:rPr>
        <w:t>4. The tier is set by realistic use.</w:t>
      </w:r>
      <w:r>
        <w:rPr/>
        <w:t xml:space="preserve"> Expect scope creep, plan for it, and catch it with triggers. Re-classify, using a fresh worksheet, when any of these occurs:</w:t>
      </w:r>
    </w:p>
    <w:p>
      <w:pPr>
        <w:pStyle w:val="ListParagraph"/>
        <w:numPr>
          <w:ilvl w:val="0"/>
          <w:numId w:val="17"/>
        </w:numPr>
        <w:rPr/>
      </w:pPr>
      <w:r>
        <w:rPr/>
        <w:t>The system starts informing a new kind of decision, or its outputs reach a new group (especially the public).</w:t>
      </w:r>
    </w:p>
    <w:p>
      <w:pPr>
        <w:pStyle w:val="ListParagraph"/>
        <w:numPr>
          <w:ilvl w:val="0"/>
          <w:numId w:val="18"/>
        </w:numPr>
        <w:rPr/>
      </w:pPr>
      <w:r>
        <w:rPr/>
        <w:t>A human review step is removed, reduced, or has quietly become nominal (override rates near zero over a sustained period; Module 3.5).</w:t>
      </w:r>
    </w:p>
    <w:p>
      <w:pPr>
        <w:pStyle w:val="ListParagraph"/>
        <w:numPr>
          <w:ilvl w:val="0"/>
          <w:numId w:val="19"/>
        </w:numPr>
        <w:rPr/>
      </w:pPr>
      <w:r>
        <w:rPr/>
        <w:t>The vendor adds capabilities, or a model update changes behaviour (Module 6).</w:t>
      </w:r>
    </w:p>
    <w:p>
      <w:pPr>
        <w:pStyle w:val="ListParagraph"/>
        <w:numPr>
          <w:ilvl w:val="0"/>
          <w:numId w:val="20"/>
        </w:numPr>
        <w:rPr/>
      </w:pPr>
      <w:r>
        <w:rPr/>
        <w:t>Usage volume grows past what the original worksheet assumed.</w:t>
      </w:r>
    </w:p>
    <w:p>
      <w:pPr>
        <w:pStyle w:val="ListParagraph"/>
        <w:numPr>
          <w:ilvl w:val="0"/>
          <w:numId w:val="21"/>
        </w:numPr>
        <w:rPr/>
      </w:pPr>
      <w:r>
        <w:rPr/>
        <w:t>An incident or a pattern of complaints arrives (Module 6).</w:t>
      </w:r>
    </w:p>
    <w:p>
      <w:pPr>
        <w:pStyle w:val="Normal"/>
        <w:rPr/>
      </w:pPr>
      <w:r>
        <w:rPr>
          <w:b/>
          <w:bCs/>
        </w:rPr>
        <w:t>5. Inputs can end the analysis early.</w:t>
      </w:r>
      <w:r>
        <w:rPr/>
        <w:t xml:space="preserve"> If the use case’s inputs include protected characteristics (nationality, ethnicity, religion, and the categories your law protects) or close proxies for them, in a system that touches decisions about people, stop and take it to legal review before classifying further. The Dutch case in 2.1 is the reason this rule exists, and “the vendor configured the inputs” transfers none of the accountability. If the vendor will not disclose the input list, rule 5 cannot be cleared: the classification stops at escalation until it is, and Module 4.5 treats that refusal as a red flag.</w:t>
      </w:r>
    </w:p>
    <w:p>
      <w:pPr>
        <w:pStyle w:val="Normal"/>
        <w:rPr/>
      </w:pPr>
      <w:r>
        <w:rPr>
          <w:b/>
          <w:bCs/>
        </w:rPr>
        <w:t>6. Pipelines are classified by their end decision.</w:t>
      </w:r>
      <w:r>
        <w:rPr/>
        <w:t xml:space="preserve"> Where several components feed one another (text extraction into summarisation into scoring into human review), classify the pipeline as one use case, by the decision at its end, and validate it end to end (Module 6). A benign component does not lower the tier of a consequential pipeline.</w:t>
      </w:r>
    </w:p>
    <w:p>
      <w:pPr>
        <w:pStyle w:val="Normal"/>
        <w:rPr/>
      </w:pPr>
      <w:r>
        <w:rPr>
          <w:b/>
          <w:bCs/>
        </w:rPr>
        <w:t>7. Nobody classifies their own project unchecked.</w:t>
      </w:r>
      <w:r>
        <w:rPr/>
        <w:t xml:space="preserve"> The person proposing a system wants it to be Tier 3. The confirming signature in Step 5 exists for this, which is why the confirmer must be someone outside the proposing team for anything below Tier 2.</w:t>
      </w:r>
      <w:bookmarkEnd w:id="5"/>
    </w:p>
    <w:p>
      <w:pPr>
        <w:pStyle w:val="Heading2"/>
        <w:rPr/>
      </w:pPr>
      <w:bookmarkStart w:id="6" w:name="worked-classifications"/>
      <w:r>
        <w:rPr/>
        <w:t>2.5 Worked classifications</w:t>
      </w:r>
    </w:p>
    <w:p>
      <w:pPr>
        <w:pStyle w:val="Normal"/>
        <w:rPr/>
      </w:pPr>
      <w:r>
        <w:rPr/>
        <w:t>Each example walks the worksheet in order.</w:t>
      </w:r>
    </w:p>
    <w:p>
      <w:pPr>
        <w:pStyle w:val="Heading3"/>
        <w:rPr/>
      </w:pPr>
      <w:bookmarkStart w:id="7" w:name="X104dc7907daa79a429eb6bf545dc70ff90ff22e"/>
      <w:r>
        <w:rPr/>
        <w:t>Worked example A: patient deterioration alerts in a hospital</w:t>
      </w:r>
    </w:p>
    <w:p>
      <w:pPr>
        <w:pStyle w:val="Normal"/>
        <w:rPr/>
      </w:pPr>
      <w:r>
        <w:rPr/>
        <w:t>A vendor offers a tool that runs on the hospital’s electronic records and alerts ward staff when a patient’s condition is likely to deteriorate.</w:t>
      </w:r>
    </w:p>
    <w:p>
      <w:pPr>
        <w:pStyle w:val="ListParagraph"/>
        <w:numPr>
          <w:ilvl w:val="0"/>
          <w:numId w:val="22"/>
        </w:numPr>
        <w:rPr/>
      </w:pPr>
      <w:r>
        <w:rPr>
          <w:b/>
          <w:bCs/>
        </w:rPr>
        <w:t>Step 1, escalation list:</w:t>
      </w:r>
      <w:r>
        <w:rPr/>
        <w:t xml:space="preserve"> no item applies.</w:t>
      </w:r>
    </w:p>
    <w:p>
      <w:pPr>
        <w:pStyle w:val="ListParagraph"/>
        <w:numPr>
          <w:ilvl w:val="0"/>
          <w:numId w:val="23"/>
        </w:numPr>
        <w:rPr/>
      </w:pPr>
      <w:r>
        <w:rPr>
          <w:b/>
          <w:bCs/>
        </w:rPr>
        <w:t>Step 2, decision question:</w:t>
      </w:r>
      <w:r>
        <w:rPr/>
        <w:t xml:space="preserve"> yes. The alert directs clinical attention. A patient the tool should have flagged and did not can receive care later than they otherwise would. Access to care is on the adverse list. </w:t>
      </w:r>
      <w:r>
        <w:rPr>
          <w:b/>
          <w:bCs/>
        </w:rPr>
        <w:t>Tier 2.</w:t>
      </w:r>
    </w:p>
    <w:p>
      <w:pPr>
        <w:pStyle w:val="ListParagraph"/>
        <w:numPr>
          <w:ilvl w:val="0"/>
          <w:numId w:val="24"/>
        </w:numPr>
        <w:rPr/>
      </w:pPr>
      <w:r>
        <w:rPr>
          <w:b/>
          <w:bCs/>
        </w:rPr>
        <w:t>Step 4, autonomy:</w:t>
      </w:r>
      <w:r>
        <w:rPr/>
        <w:t xml:space="preserve"> outputs are advisory; clinicians decide. No move.</w:t>
      </w:r>
    </w:p>
    <w:p>
      <w:pPr>
        <w:pStyle w:val="ListParagraph"/>
        <w:numPr>
          <w:ilvl w:val="0"/>
          <w:numId w:val="25"/>
        </w:numPr>
        <w:rPr/>
      </w:pPr>
      <w:r>
        <w:rPr>
          <w:b/>
          <w:bCs/>
        </w:rPr>
        <w:t>Step 4, detectability:</w:t>
      </w:r>
      <w:r>
        <w:rPr/>
        <w:t xml:space="preserve"> low, and the worksheet should say why in one sentence: an alert that fires is visible, and a patient who was never flagged is invisible, because the tool’s silence looks identical whether it is right or wrong. Tier stays 2; the strict Module 6 path is mandated: shadow mode before go-live (the tool runs, staff decide as they always did, and its alerts are compared against what happened), and in-service monitoring built around missed cases, with the subgroup breakouts from Module 4.2.2.</w:t>
      </w:r>
    </w:p>
    <w:p>
      <w:pPr>
        <w:pStyle w:val="ListParagraph"/>
        <w:numPr>
          <w:ilvl w:val="0"/>
          <w:numId w:val="26"/>
        </w:numPr>
        <w:rPr/>
      </w:pPr>
      <w:r>
        <w:rPr>
          <w:b/>
          <w:bCs/>
        </w:rPr>
        <w:t>Step 5:</w:t>
      </w:r>
      <w:r>
        <w:rPr/>
        <w:t xml:space="preserve"> classified by the head of nursing informatics, confirmed and signed by the System Owner, filed, review in 12 months.</w:t>
      </w:r>
    </w:p>
    <w:p>
      <w:pPr>
        <w:pStyle w:val="ListParagraph"/>
        <w:numPr>
          <w:ilvl w:val="0"/>
          <w:numId w:val="27"/>
        </w:numPr>
        <w:rPr/>
      </w:pPr>
      <w:r>
        <w:rPr>
          <w:b/>
          <w:bCs/>
        </w:rPr>
        <w:t>What the tier buys:</w:t>
      </w:r>
      <w:r>
        <w:rPr/>
        <w:t xml:space="preserve"> all four Module 3 roles; the full Module 4 procurement, where question 1 of the vendor script (validated on what population?) is the question the sepsis case in Module 4.1 answers; the Module 5 data checklist before any patient record leaves the building; and domain review by clinicians before the go-live gate, per Module 1.4.</w:t>
      </w:r>
      <w:bookmarkEnd w:id="7"/>
    </w:p>
    <w:p>
      <w:pPr>
        <w:pStyle w:val="Heading3"/>
        <w:rPr/>
      </w:pPr>
      <w:bookmarkStart w:id="8" w:name="X248eeac2f0512cda8c24cd725156716693e429b"/>
      <w:r>
        <w:rPr/>
        <w:t>Worked example B: a fraud risk flag in a benefits ministry</w:t>
      </w:r>
    </w:p>
    <w:p>
      <w:pPr>
        <w:pStyle w:val="Normal"/>
        <w:rPr/>
      </w:pPr>
      <w:r>
        <w:rPr/>
        <w:t>The ministry considers a system that scores benefit claims for fraud risk so investigators can prioritise.</w:t>
      </w:r>
    </w:p>
    <w:p>
      <w:pPr>
        <w:pStyle w:val="ListParagraph"/>
        <w:numPr>
          <w:ilvl w:val="0"/>
          <w:numId w:val="28"/>
        </w:numPr>
        <w:rPr/>
      </w:pPr>
      <w:r>
        <w:rPr>
          <w:b/>
          <w:bCs/>
        </w:rPr>
        <w:t>Step 1, escalation list:</w:t>
      </w:r>
      <w:r>
        <w:rPr/>
        <w:t xml:space="preserve"> run rule 5 of section 2.4 first, because this category has the history: demand the input list from the vendor (Module 4.2.1) and check it for protected characteristics and proxies. If nationality, ethnicity, or stand-ins for them appear, stop and go to legal review. Assume for this example the input list comes back clean.</w:t>
      </w:r>
    </w:p>
    <w:p>
      <w:pPr>
        <w:pStyle w:val="ListParagraph"/>
        <w:numPr>
          <w:ilvl w:val="0"/>
          <w:numId w:val="29"/>
        </w:numPr>
        <w:rPr/>
      </w:pPr>
      <w:r>
        <w:rPr>
          <w:b/>
          <w:bCs/>
        </w:rPr>
        <w:t>Step 2, decision question:</w:t>
      </w:r>
      <w:r>
        <w:rPr/>
        <w:t xml:space="preserve"> yes. A flag triggers investigation, and can lead to suspended payments and repayment demands. Money, benefits, and legal standing are on the adverse list. </w:t>
      </w:r>
      <w:r>
        <w:rPr>
          <w:b/>
          <w:bCs/>
        </w:rPr>
        <w:t>Tier 2.</w:t>
      </w:r>
    </w:p>
    <w:p>
      <w:pPr>
        <w:pStyle w:val="ListParagraph"/>
        <w:numPr>
          <w:ilvl w:val="0"/>
          <w:numId w:val="30"/>
        </w:numPr>
        <w:rPr/>
      </w:pPr>
      <w:r>
        <w:rPr>
          <w:b/>
          <w:bCs/>
        </w:rPr>
        <w:t>Step 4, autonomy:</w:t>
      </w:r>
      <w:r>
        <w:rPr/>
        <w:t xml:space="preserve"> the ministry’s design says an official reviews every flag. Write down the arithmetic on the worksheet: 400 flags a week across 9 investigators is roughly 9 reviews per investigator per day, which is plausible review; 4,000 flags a week is rubber-stamping by design, and under this modifier that is an unreviewed adverse decision, which is Tier 1 escalation territory.</w:t>
      </w:r>
    </w:p>
    <w:p>
      <w:pPr>
        <w:pStyle w:val="ListParagraph"/>
        <w:numPr>
          <w:ilvl w:val="0"/>
          <w:numId w:val="31"/>
        </w:numPr>
        <w:rPr/>
      </w:pPr>
      <w:r>
        <w:rPr>
          <w:b/>
          <w:bCs/>
        </w:rPr>
        <w:t>Step 4, detectability:</w:t>
      </w:r>
      <w:r>
        <w:rPr/>
        <w:t xml:space="preserve"> low for the person flagged, who experiences the investigation and cannot see the system. This mandates the strict Module 6 path. The appeal channel is a detection instrument for this system. The claimant’s route to challenge, and the ministry’s deadline to answer, get designed before go-live.</w:t>
      </w:r>
    </w:p>
    <w:p>
      <w:pPr>
        <w:pStyle w:val="ListParagraph"/>
        <w:numPr>
          <w:ilvl w:val="0"/>
          <w:numId w:val="32"/>
        </w:numPr>
        <w:rPr/>
      </w:pPr>
      <w:r>
        <w:rPr>
          <w:b/>
          <w:bCs/>
        </w:rPr>
        <w:t>Step 5:</w:t>
      </w:r>
      <w:r>
        <w:rPr/>
        <w:t xml:space="preserve"> classified by the head of the investigations unit, confirmed by the System Owner, filed, review in 12 months, with override rates (how often investigators disagree with the flag) on the monthly monitoring summary from day one.</w:t>
      </w:r>
    </w:p>
    <w:p>
      <w:pPr>
        <w:pStyle w:val="ListParagraph"/>
        <w:numPr>
          <w:ilvl w:val="0"/>
          <w:numId w:val="33"/>
        </w:numPr>
        <w:rPr/>
      </w:pPr>
      <w:r>
        <w:rPr>
          <w:b/>
          <w:bCs/>
        </w:rPr>
        <w:t>What the tier buys:</w:t>
      </w:r>
      <w:r>
        <w:rPr/>
        <w:t xml:space="preserve"> the same load as example A, plus the input scrutiny above. The Dutch case from 2.1 sat in this category. The classification worksheet is short; what it would have recorded, in writing, before scale, is that this system makes adverse calls about families’ money, that its input list must survive legal review, and that the people it flags need a way to be heard.</w:t>
      </w:r>
      <w:bookmarkEnd w:id="8"/>
    </w:p>
    <w:p>
      <w:pPr>
        <w:pStyle w:val="Heading3"/>
        <w:rPr/>
      </w:pPr>
      <w:bookmarkStart w:id="9" w:name="Xf913e0cc6e8a99a7dc0106beec7e0d2bdbe631a"/>
      <w:r>
        <w:rPr/>
        <w:t>Worked example C: an electricity load forecast in a utility</w:t>
      </w:r>
    </w:p>
    <w:p>
      <w:pPr>
        <w:pStyle w:val="Normal"/>
        <w:rPr/>
      </w:pPr>
      <w:r>
        <w:rPr/>
        <w:t>The utility considers a model that forecasts demand 24 to 72 hours ahead to plan generation and grid operations.</w:t>
      </w:r>
    </w:p>
    <w:p>
      <w:pPr>
        <w:pStyle w:val="ListParagraph"/>
        <w:numPr>
          <w:ilvl w:val="0"/>
          <w:numId w:val="34"/>
        </w:numPr>
        <w:rPr/>
      </w:pPr>
      <w:r>
        <w:rPr>
          <w:b/>
          <w:bCs/>
        </w:rPr>
        <w:t>Step 1, escalation list:</w:t>
      </w:r>
      <w:r>
        <w:rPr/>
        <w:t xml:space="preserve"> no item applies.</w:t>
      </w:r>
    </w:p>
    <w:p>
      <w:pPr>
        <w:pStyle w:val="ListParagraph"/>
        <w:numPr>
          <w:ilvl w:val="0"/>
          <w:numId w:val="35"/>
        </w:numPr>
        <w:rPr/>
      </w:pPr>
      <w:r>
        <w:rPr>
          <w:b/>
          <w:bCs/>
        </w:rPr>
        <w:t>Step 2, decision question:</w:t>
      </w:r>
      <w:r>
        <w:rPr/>
        <w:t xml:space="preserve"> no. The forecast decides about the grid, and no output attaches to an identifiable person.</w:t>
      </w:r>
    </w:p>
    <w:p>
      <w:pPr>
        <w:pStyle w:val="ListParagraph"/>
        <w:numPr>
          <w:ilvl w:val="0"/>
          <w:numId w:val="36"/>
        </w:numPr>
        <w:rPr/>
      </w:pPr>
      <w:r>
        <w:rPr>
          <w:b/>
          <w:bCs/>
        </w:rPr>
        <w:t>Step 3, dependence question:</w:t>
      </w:r>
      <w:r>
        <w:rPr/>
        <w:t xml:space="preserve"> yes. Operations that people depend on follow the output. </w:t>
      </w:r>
      <w:r>
        <w:rPr>
          <w:b/>
          <w:bCs/>
        </w:rPr>
        <w:t>Tier 3.</w:t>
      </w:r>
    </w:p>
    <w:p>
      <w:pPr>
        <w:pStyle w:val="ListParagraph"/>
        <w:numPr>
          <w:ilvl w:val="0"/>
          <w:numId w:val="37"/>
        </w:numPr>
        <w:rPr/>
      </w:pPr>
      <w:r>
        <w:rPr>
          <w:b/>
          <w:bCs/>
        </w:rPr>
        <w:t>Step 4, autonomy:</w:t>
      </w:r>
      <w:r>
        <w:rPr/>
        <w:t xml:space="preserve"> planners review the forecast before committing resources. No move. (If the forecast fed an automatic dispatch system with no human step, the modifier would move this to Tier 2, and the worksheet would say so.)</w:t>
      </w:r>
    </w:p>
    <w:p>
      <w:pPr>
        <w:pStyle w:val="ListParagraph"/>
        <w:numPr>
          <w:ilvl w:val="0"/>
          <w:numId w:val="38"/>
        </w:numPr>
        <w:rPr/>
      </w:pPr>
      <w:r>
        <w:rPr>
          <w:b/>
          <w:bCs/>
        </w:rPr>
        <w:t>Step 4, detectability:</w:t>
      </w:r>
      <w:r>
        <w:rPr/>
        <w:t xml:space="preserve"> high, and the worksheet says why: yesterday’s forecast is checked against yesterday’s actual demand every morning, so errors surface in hours. No move.</w:t>
      </w:r>
    </w:p>
    <w:p>
      <w:pPr>
        <w:pStyle w:val="ListParagraph"/>
        <w:numPr>
          <w:ilvl w:val="0"/>
          <w:numId w:val="39"/>
        </w:numPr>
        <w:rPr/>
      </w:pPr>
      <w:r>
        <w:rPr>
          <w:b/>
          <w:bCs/>
        </w:rPr>
        <w:t>Step 5:</w:t>
      </w:r>
      <w:r>
        <w:rPr/>
        <w:t xml:space="preserve"> classified by the planning engineer, confirmed by a peer department head, filed, review in 12 months.</w:t>
      </w:r>
    </w:p>
    <w:p>
      <w:pPr>
        <w:pStyle w:val="ListParagraph"/>
        <w:numPr>
          <w:ilvl w:val="0"/>
          <w:numId w:val="40"/>
        </w:numPr>
        <w:rPr/>
      </w:pPr>
      <w:r>
        <w:rPr>
          <w:b/>
          <w:bCs/>
        </w:rPr>
        <w:t>What the tier buys:</w:t>
      </w:r>
      <w:r>
        <w:rPr/>
        <w:t xml:space="preserve"> a System Owner, an Operational Lead, and a Data Steward; the Module 4 Tier 3 procurement path (documentation core plus six clauses); the Module 5 checklist (which is quick here, since consumption data at feeder level is the likely payload rather than personal data); monthly monitoring against actuals.</w:t>
      </w:r>
    </w:p>
    <w:p>
      <w:pPr>
        <w:pStyle w:val="ListParagraph"/>
        <w:numPr>
          <w:ilvl w:val="0"/>
          <w:numId w:val="41"/>
        </w:numPr>
        <w:rPr/>
      </w:pPr>
      <w:r>
        <w:rPr>
          <w:b/>
          <w:bCs/>
        </w:rPr>
        <w:t>The re-tier trigger, named in advance on the worksheet:</w:t>
      </w:r>
      <w:r>
        <w:rPr/>
        <w:t xml:space="preserve"> if this forecast ever starts driving decisions attached to households or businesses (remote disconnection, load shedding priorities by area, dynamic pricing), it crosses into Step 2 territory and gets a new worksheet as Tier 2.</w:t>
      </w:r>
      <w:bookmarkEnd w:id="6"/>
      <w:bookmarkEnd w:id="9"/>
    </w:p>
    <w:p>
      <w:pPr>
        <w:pStyle w:val="Heading2"/>
        <w:keepNext w:val="true"/>
        <w:rPr/>
      </w:pPr>
      <w:r>
        <w:rPr/>
        <w:t>2.6 Where this module sits in existing standards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220"/>
        <w:gridCol w:w="7077"/>
      </w:tblGrid>
      <w:tr>
        <w:trPr>
          <w:tblHeader w:val="true"/>
          <w:cantSplit w:val="true"/>
        </w:trPr>
        <w:tc>
          <w:tcPr>
            <w:tcW w:w="222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This module</w:t>
            </w:r>
          </w:p>
        </w:tc>
        <w:tc>
          <w:tcPr>
            <w:tcW w:w="707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Where it maps</w:t>
            </w:r>
          </w:p>
        </w:tc>
      </w:tr>
      <w:tr>
        <w:trPr>
          <w:cantSplit w:val="true"/>
        </w:trPr>
        <w:tc>
          <w:tcPr>
            <w:tcW w:w="22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four-tier structure</w:t>
            </w:r>
          </w:p>
        </w:tc>
        <w:tc>
          <w:tcPr>
            <w:tcW w:w="70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EU AI Act’s risk-based architecture: prohibited practices, high-risk systems with heavy duties, limited-risk transparency cases, and minimal-risk uses. The Act’s categories are legal classifications with legal consequences; this module’s tiers are an operating translation for institutions the Act calls deployers, and where the Act applies to you, its classification governs and a lawyer confirms it.</w:t>
            </w:r>
          </w:p>
        </w:tc>
      </w:tr>
      <w:tr>
        <w:trPr>
          <w:cantSplit w:val="true"/>
        </w:trPr>
        <w:tc>
          <w:tcPr>
            <w:tcW w:w="22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Step 1’s escalation list</w:t>
            </w:r>
          </w:p>
        </w:tc>
        <w:tc>
          <w:tcPr>
            <w:tcW w:w="70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prohibited and tightly regulated practices, at concept level; precise references in the annex.</w:t>
            </w:r>
          </w:p>
        </w:tc>
      </w:tr>
      <w:tr>
        <w:trPr>
          <w:cantSplit w:val="true"/>
        </w:trPr>
        <w:tc>
          <w:tcPr>
            <w:tcW w:w="22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Steps 2 to 4</w:t>
            </w:r>
          </w:p>
        </w:tc>
        <w:tc>
          <w:tcPr>
            <w:tcW w:w="70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NIST AI RMF Map function: establishing context, understanding impact, and categorising risk before measuring or managing it.</w:t>
            </w:r>
          </w:p>
        </w:tc>
      </w:tr>
      <w:tr>
        <w:trPr>
          <w:cantSplit w:val="true"/>
        </w:trPr>
        <w:tc>
          <w:tcPr>
            <w:tcW w:w="22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Step 5’s record, confirmation, and review cycle</w:t>
            </w:r>
          </w:p>
        </w:tc>
        <w:tc>
          <w:tcPr>
            <w:tcW w:w="70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42001’s expectations that risk assessment is documented, repeatable, and periodically refreshed within a management system.</w:t>
            </w:r>
          </w:p>
        </w:tc>
      </w:tr>
      <w:tr>
        <w:trPr>
          <w:cantSplit w:val="true"/>
        </w:trPr>
        <w:tc>
          <w:tcPr>
            <w:tcW w:w="22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Effort scaling with consequence</w:t>
            </w:r>
          </w:p>
        </w:tc>
        <w:tc>
          <w:tcPr>
            <w:tcW w:w="70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proportionality running through the OECD AI Principles and the UNESCO Recommendation: stewardship appropriate to context and impact.</w:t>
            </w:r>
            <w:bookmarkStart w:id="10" w:name="X875068f31dc64b4b70da619b708188c400b728c"/>
            <w:bookmarkEnd w:id="10"/>
          </w:p>
        </w:tc>
      </w:tr>
    </w:tbl>
    <w:p>
      <w:pPr>
        <w:pStyle w:val="Heading2"/>
        <w:pageBreakBefore/>
        <w:rPr/>
      </w:pPr>
      <w:r>
        <w:rPr/>
        <w:t>Artifact 2: Risk classification worksheet</w:t>
      </w:r>
    </w:p>
    <w:p>
      <w:pPr>
        <w:pStyle w:val="Boxtext"/>
        <w:rPr/>
      </w:pPr>
      <w:r>
        <w:rPr>
          <w:b/>
          <w:bCs/>
        </w:rPr>
        <w:t>Standalone artifact.</w:t>
      </w:r>
      <w:r>
        <w:rPr/>
        <w:t xml:space="preserve"> Open AI Governance and Deployment Framework, Version 1.0. Licence: CC BY 4.0. One worksheet per use case, including free tools and systems already live. It is designed to be completed in under an hour once the system description (Module 4, section 4.2.1) is in hand. It is an operating tool and it is not legal advice; where a law classifies your system, the law’s classification governs.</w:t>
      </w:r>
    </w:p>
    <w:p>
      <w:pPr>
        <w:pStyle w:val="Normal"/>
        <w:keepNext w:val="true"/>
        <w:rPr/>
      </w:pPr>
      <w:r>
        <w:rPr>
          <w:b/>
          <w:bCs/>
        </w:rPr>
        <w:t>Use case being classified</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577"/>
        <w:gridCol w:w="3720"/>
      </w:tblGrid>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use case, in one sentence (what decision or output, for whom)</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Users of the output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People affected by the output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Expected volume (outputs per week)</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Model or product version reviewed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Deployment location(s) and sites</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Step 1: Escalation list.</w:t>
      </w:r>
      <w:r>
        <w:rPr/>
        <w:t xml:space="preserve"> Tick any that apply.</w:t>
      </w:r>
    </w:p>
    <w:p>
      <w:pPr>
        <w:pStyle w:val="Checklistitem"/>
        <w:rPr/>
      </w:pPr>
      <w:r>
        <w:rPr/>
        <w:t>☐</w:t>
      </w:r>
      <w:r>
        <w:rPr/>
        <w:tab/>
        <w:t>Scores or ranks people’s general trustworthiness or social behaviour across contexts</w:t>
      </w:r>
    </w:p>
    <w:p>
      <w:pPr>
        <w:pStyle w:val="Checklistitem"/>
        <w:rPr/>
      </w:pPr>
      <w:r>
        <w:rPr/>
        <w:t>☐</w:t>
      </w:r>
      <w:r>
        <w:rPr/>
        <w:tab/>
        <w:t>Biometric identification in public spaces, or biometric categorisation of people</w:t>
      </w:r>
    </w:p>
    <w:p>
      <w:pPr>
        <w:pStyle w:val="Checklistitem"/>
        <w:rPr/>
      </w:pPr>
      <w:r>
        <w:rPr/>
        <w:t>☐</w:t>
      </w:r>
      <w:r>
        <w:rPr/>
        <w:tab/>
        <w:t>Infers emotions or protected characteristics about employees, students, or the public</w:t>
      </w:r>
    </w:p>
    <w:p>
      <w:pPr>
        <w:pStyle w:val="Checklistitem"/>
        <w:rPr/>
      </w:pPr>
      <w:r>
        <w:rPr/>
        <w:t>☐</w:t>
      </w:r>
      <w:r>
        <w:rPr/>
        <w:tab/>
        <w:t>Adverse decisions about people, fully automated, with no individual human review and no appeal</w:t>
      </w:r>
    </w:p>
    <w:p>
      <w:pPr>
        <w:pStyle w:val="Checklistitem"/>
        <w:rPr/>
      </w:pPr>
      <w:r>
        <w:rPr/>
        <w:t>☐</w:t>
      </w:r>
      <w:r>
        <w:rPr/>
        <w:tab/>
        <w:t>Inputs include protected characteristics or close proxies, in a system touching decisions about people (rule 5)</w:t>
      </w:r>
    </w:p>
    <w:p>
      <w:pPr>
        <w:pStyle w:val="Checklistitem"/>
        <w:rPr/>
      </w:pPr>
      <w:r>
        <w:rPr/>
        <w:t>☐</w:t>
      </w:r>
      <w:r>
        <w:rPr/>
        <w:tab/>
        <w:t>Known to be prohibited or restricted by a law that applies to us (state which), or legal status unknown (if unknown, do not decide: route this worksheet to legal review before classifying further): ____________</w:t>
      </w:r>
    </w:p>
    <w:p>
      <w:pPr>
        <w:pStyle w:val="Normal"/>
        <w:rPr/>
      </w:pPr>
      <w:r>
        <w:rPr>
          <w:i/>
          <w:iCs/>
        </w:rPr>
        <w:t>Any tick: STOP. Tier 1. Route to legal counsel and a relevant specialist with this worksheet attached. Leadership sign-off required to proceed on any path.</w:t>
      </w:r>
    </w:p>
    <w:p>
      <w:pPr>
        <w:pStyle w:val="Normal"/>
        <w:rPr/>
      </w:pPr>
      <w:r>
        <w:rPr>
          <w:b/>
          <w:bCs/>
        </w:rPr>
        <w:t>Step 2: Decision question.</w:t>
      </w:r>
      <w:r>
        <w:rPr/>
        <w:t xml:space="preserve"> Does the system inform or make decisions that can be adverse to an identifiable person (care, money or credit, benefits, housing, education, employment, essential services, legal standing, liberty)?</w:t>
      </w:r>
    </w:p>
    <w:p>
      <w:pPr>
        <w:pStyle w:val="Checklistitem"/>
        <w:rPr/>
      </w:pPr>
      <w:r>
        <w:rPr/>
        <w:t>☐</w:t>
      </w:r>
      <w:r>
        <w:rPr/>
        <w:tab/>
        <w:t xml:space="preserve">Yes → </w:t>
      </w:r>
      <w:r>
        <w:rPr>
          <w:b/>
          <w:bCs/>
        </w:rPr>
        <w:t>Tier 2.</w:t>
      </w:r>
      <w:r>
        <w:rPr/>
        <w:t xml:space="preserve"> Go to Step 4. ☐ No → Step 3.</w:t>
      </w:r>
    </w:p>
    <w:p>
      <w:pPr>
        <w:pStyle w:val="Normal"/>
        <w:rPr/>
      </w:pPr>
      <w:r>
        <w:rPr/>
        <w:t>One sentence of reasoning: ____________</w:t>
      </w:r>
    </w:p>
    <w:p>
      <w:pPr>
        <w:pStyle w:val="Normal"/>
        <w:rPr/>
      </w:pPr>
      <w:r>
        <w:rPr>
          <w:b/>
          <w:bCs/>
        </w:rPr>
        <w:t>Step 3: Dependence question.</w:t>
      </w:r>
      <w:r>
        <w:rPr/>
        <w:t xml:space="preserve"> Do the outputs steer operations that people depend on, without deciding about any identifiable person?</w:t>
      </w:r>
    </w:p>
    <w:p>
      <w:pPr>
        <w:pStyle w:val="Checklistitem"/>
        <w:rPr/>
      </w:pPr>
      <w:r>
        <w:rPr/>
        <w:t>☐</w:t>
      </w:r>
      <w:r>
        <w:rPr/>
        <w:tab/>
        <w:t xml:space="preserve">Yes → </w:t>
      </w:r>
      <w:r>
        <w:rPr>
          <w:b/>
          <w:bCs/>
        </w:rPr>
        <w:t>Tier 3.</w:t>
      </w:r>
      <w:r>
        <w:rPr/>
        <w:t xml:space="preserve"> ☐ No → </w:t>
      </w:r>
      <w:r>
        <w:rPr>
          <w:b/>
          <w:bCs/>
        </w:rPr>
        <w:t>Tier 4.</w:t>
      </w:r>
      <w:r>
        <w:rPr/>
        <w:t xml:space="preserve"> Go to Step 4.</w:t>
      </w:r>
    </w:p>
    <w:p>
      <w:pPr>
        <w:pStyle w:val="Normal"/>
        <w:rPr/>
      </w:pPr>
      <w:r>
        <w:rPr/>
        <w:t>One sentence of reasoning: ____________</w:t>
      </w:r>
    </w:p>
    <w:p>
      <w:pPr>
        <w:pStyle w:val="Normal"/>
        <w:rPr/>
      </w:pPr>
      <w:r>
        <w:rPr>
          <w:b/>
          <w:bCs/>
        </w:rPr>
        <w:t>Step 4: Modifiers.</w:t>
      </w:r>
      <w:r>
        <w:rPr/>
        <w:t xml:space="preserve"> These move the case up only.</w:t>
      </w:r>
    </w:p>
    <w:p>
      <w:pPr>
        <w:pStyle w:val="ListParagraph"/>
        <w:numPr>
          <w:ilvl w:val="0"/>
          <w:numId w:val="42"/>
        </w:numPr>
        <w:rPr/>
      </w:pPr>
      <w:r>
        <w:rPr/>
        <w:t>Autonomy: will individual outputs take effect without prior human review? ☐ No ☐ Yes → Tier 3 or 4 moves up one tier; at Tier 2 this is Step 1 territory: STOP and escalate.</w:t>
        <w:br/>
        <w:t>If human review is claimed, show the arithmetic: (outputs per week ______ ÷ reviewers ______) ÷ working days per week ______ = ______ reviews per reviewer per day. Is that real review? ☐ Yes ☐ No → treat as no prior human review.</w:t>
      </w:r>
    </w:p>
    <w:p>
      <w:pPr>
        <w:pStyle w:val="ListParagraph"/>
        <w:numPr>
          <w:ilvl w:val="0"/>
          <w:numId w:val="43"/>
        </w:numPr>
        <w:rPr/>
      </w:pPr>
      <w:r>
        <w:rPr/>
        <w:t>Detectability: if an output were wrong, would anyone notice within days? State the mechanism that would notice it: ____________</w:t>
        <w:br/>
        <w:t>☐ Yes ☐ No → Tier 3 or 4 moves up one tier; at Tier 2, the strict Module 6 path is mandated (shadow mode before go-live; monitoring designed around unnoticed failures).</w:t>
      </w:r>
    </w:p>
    <w:p>
      <w:pPr>
        <w:pStyle w:val="Normal"/>
        <w:keepNext w:val="true"/>
        <w:rPr/>
      </w:pPr>
      <w:r>
        <w:rPr>
          <w:b/>
          <w:bCs/>
        </w:rPr>
        <w:t>Result</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8134"/>
        <w:gridCol w:w="1163"/>
      </w:tblGrid>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Final tier</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Governance load acknowledged (attach or reference the tier table, Module 2.3)</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Acceptable-use note written (general-purpose tools only, rule 1)</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attached</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Re-classification triggers acknowledged (rule 4), plus any system-specific trigger, stated: ____________</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Next scheduled review date (12 months Tier 2 and 3; 24 months Tier 4)</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Signatures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719"/>
        <w:gridCol w:w="1858"/>
        <w:gridCol w:w="1859"/>
        <w:gridCol w:w="1861"/>
      </w:tblGrid>
      <w:tr>
        <w:trPr>
          <w:tblHeader w:val="true"/>
          <w:cantSplit w:val="true"/>
        </w:trPr>
        <w:tc>
          <w:tcPr>
            <w:tcW w:w="37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18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Classified by</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Confirmed by (System Owner for Tier 2; a peer outside the proposing team otherwise)</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i/>
          <w:iCs/>
        </w:rPr>
        <w:t>File this worksheet in the system register (Module 7, Artifact 7.11).</w:t>
      </w:r>
    </w:p>
    <w:p>
      <w:pPr>
        <w:pStyle w:val="Heading2"/>
        <w:rPr/>
      </w:pPr>
      <w:bookmarkStart w:id="11" w:name="references-for-this-module"/>
      <w:r>
        <w:rPr/>
        <w:t>References for this module</w:t>
      </w:r>
    </w:p>
    <w:p>
      <w:pPr>
        <w:pStyle w:val="ListParagraph"/>
        <w:numPr>
          <w:ilvl w:val="0"/>
          <w:numId w:val="44"/>
        </w:numPr>
        <w:rPr/>
      </w:pPr>
      <w:r>
        <w:rPr/>
        <w:t>Parlementaire ondervragingscommissie Kinderopvangtoeslag (Parliamentary Interrogation Committee on Childcare Benefits), “Ongekend Onrecht” (“Unprecedented Injustice”), Netherlands House of Representatives, December 2020.</w:t>
      </w:r>
    </w:p>
    <w:p>
      <w:pPr>
        <w:pStyle w:val="ListParagraph"/>
        <w:numPr>
          <w:ilvl w:val="0"/>
          <w:numId w:val="45"/>
        </w:numPr>
        <w:rPr/>
      </w:pPr>
      <w:r>
        <w:rPr/>
        <w:t>Autoriteit Persoonsgegevens (Dutch Data Protection Authority), “Boete Belastingdienst kinderopvangtoeslag” (fine of 2.75 million euros on the Minister of Finance for the Tax and Customs Administration’s unlawful and discriminatory processing of applicants’ nationality in the risk classification of childcare benefit claims), published 7 December 2021, autoriteitpersoonsgegevens.nl.</w:t>
      </w:r>
    </w:p>
    <w:p>
      <w:pPr>
        <w:pStyle w:val="ListParagraph"/>
        <w:numPr>
          <w:ilvl w:val="0"/>
          <w:numId w:val="46"/>
        </w:numPr>
        <w:rPr/>
      </w:pPr>
      <w:r>
        <w:rPr/>
        <w:t>Amnesty International, “Xenophobic Machines: Discrimination through unregulated use of algorithms in the Dutch childcare benefits scandal,” October 2021. (Documents the risk classification model as a black box system including a self-learning algorithm.)</w:t>
      </w:r>
    </w:p>
    <w:p>
      <w:pPr>
        <w:pStyle w:val="ListParagraph"/>
        <w:numPr>
          <w:ilvl w:val="0"/>
          <w:numId w:val="47"/>
        </w:numPr>
        <w:spacing w:before="0" w:after="60"/>
        <w:rPr/>
      </w:pPr>
      <w:bookmarkStart w:id="12" w:name="module-2-risk-tiering"/>
      <w:bookmarkStart w:id="13" w:name="references-for-this-module"/>
      <w:r>
        <w:rPr/>
        <w:t>Facts drawn on: approximately 26,000 parents wrongly accused between 2005 and 2019; a self-learning risk classification model scored claims for fraud risk with officials scrutinising the highest-scored claims; nationality used as a risk factor; resignation of the Dutch cabinet on 15 January 2021.</w:t>
      </w:r>
      <w:bookmarkEnd w:id="12"/>
      <w:bookmarkEnd w:id="13"/>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04" w:right="1304" w:gutter="0" w:header="709"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8</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1"/>
  </w:num>
  <w:num w:numId="46">
    <w:abstractNumId w:val="1"/>
  </w:num>
  <w:num w:numId="47">
    <w:abstractNumId w:val="1"/>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paragraph" w:styleId="Heading3">
    <w:name w:val="Heading 3"/>
    <w:basedOn w:val="Normal"/>
    <w:next w:val="Normal"/>
    <w:uiPriority w:val="9"/>
    <w:qFormat/>
    <w:pPr>
      <w:keepNext w:val="true"/>
      <w:keepLines/>
      <w:spacing w:lineRule="auto" w:line="240" w:before="280" w:after="100"/>
      <w:outlineLvl w:val="2"/>
    </w:pPr>
    <w:rPr>
      <w:b/>
      <w:bCs/>
      <w:color w:val="1F3864"/>
      <w:sz w:val="24"/>
      <w:szCs w:val="24"/>
    </w:rPr>
  </w:style>
  <w:style w:type="character" w:styleId="DefaultParagraphFont" w:default="1">
    <w:name w:val="Default Paragraph Font"/>
    <w:uiPriority w:val="1"/>
    <w:semiHidden/>
    <w:unhideWhenUsed/>
    <w:qFormat/>
    <w:rPr/>
  </w:style>
  <w:style w:type="paragraph" w:styleId="ListParagraph">
    <w:name w:val="List Paragraph"/>
    <w:basedOn w:val="Normal"/>
    <w:uiPriority w:val="34"/>
    <w:qFormat/>
    <w:pPr>
      <w:spacing w:before="0" w:after="60"/>
      <w:ind w:left="720"/>
    </w:pPr>
    <w:rPr/>
  </w:style>
  <w:style w:type="paragraph" w:styleId="Checklistitem" w:customStyle="1">
    <w:name w:val="Checklist item"/>
    <w:basedOn w:val="Normal"/>
    <w:qFormat/>
    <w:pPr>
      <w:tabs>
        <w:tab w:val="clear" w:pos="720"/>
        <w:tab w:val="left" w:pos="340" w:leader="none"/>
      </w:tabs>
      <w:spacing w:lineRule="exact" w:line="264" w:before="0" w:after="60"/>
      <w:ind w:hanging="340" w:left="340"/>
    </w:pPr>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8</Pages>
  <Words>4128</Words>
  <Characters>21517</Characters>
  <CharactersWithSpaces>25422</CharactersWithSpaces>
  <Paragraphs>181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2026-09-29T14:49:26Z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2026-09-29T14:49:26Z</dcterms:modified>
  <cp:revision>1</cp:revision>
  <dc:subject>An operating manual for institutions that buy, deploy, and run AI systems</dc:subject>
  <dc:title>Open AI Governance and Deployment Framework, Version 1.0. Module 2: Risk tiering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