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pPr>
      <w:bookmarkStart w:id="0" w:name="Xfa3c50453ae4b13e5ebdcfb249cfac0159e7b75"/>
      <w:r>
        <w:rPr/>
        <w:t>Module 3: Governance roles and human oversight</w:t>
      </w:r>
    </w:p>
    <w:p>
      <w:pPr>
        <w:pStyle w:val="Normal"/>
        <w:rPr/>
      </w:pPr>
      <w:r>
        <w:rPr/>
        <w:t>Every AI system in your institution needs a small set of named people with real authority over it. This module tells you which four roles to appoint, what each one signs and can refuse, what the hours cost, and how to make human review of AI outputs something more than a signature under the machine’s decision.</w:t>
      </w:r>
    </w:p>
    <w:p>
      <w:pPr>
        <w:pStyle w:val="Normal"/>
        <w:rPr/>
      </w:pPr>
      <w:r>
        <w:rPr/>
        <w:t>Appoint the four roles in 3.2; existing staff hold them alongside their jobs, and the definitions in Artifact 3b can go into appointment letters. Then set the four gates in 3.3, design the oversight for each Tier 2 system with the four elements in 3.4, install the countermeasures in 3.5, and put the escalation rules in 3.6 on one page where operators can see them.</w:t>
      </w:r>
    </w:p>
    <w:p>
      <w:pPr>
        <w:pStyle w:val="Heading2"/>
        <w:rPr/>
      </w:pPr>
      <w:bookmarkStart w:id="1" w:name="what-broken-oversight-looks-like"/>
      <w:r>
        <w:rPr/>
        <w:t>3.1 What broken oversight looks like</w:t>
      </w:r>
    </w:p>
    <w:p>
      <w:pPr>
        <w:pStyle w:val="Normal"/>
        <w:rPr/>
      </w:pPr>
      <w:r>
        <w:rPr/>
        <w:t>The sepsis prediction tool in Module 4.1 raised alerts on 18 percent of all hospitalised patients. Every alert nominally had a human in the loop: a clinician who would read it and decide. A ward receiving alerts on nearly one patient in five, most of them false, cannot investigate each one; the rational response, within weeks, is to glance and dismiss. The system’s own behaviour had made real review impossible.</w:t>
      </w:r>
    </w:p>
    <w:p>
      <w:pPr>
        <w:pStyle w:val="Normal"/>
        <w:rPr/>
      </w:pPr>
      <w:r>
        <w:rPr/>
        <w:t>The Dutch benefits system in Module 2.1 had review in its design too: officials examined the claims the model scored as high risk. The human step existed on paper, and roughly 26,000 wrongly accused parents experienced what it was worth. Amnesty International found that the officials were given no information on why the system had given a claim its high-risk score.</w:t>
      </w:r>
    </w:p>
    <w:p>
      <w:pPr>
        <w:pStyle w:val="Normal"/>
        <w:rPr/>
      </w:pPr>
      <w:r>
        <w:rPr/>
        <w:t xml:space="preserve">Both are instances of a pattern that has been measured for decades. </w:t>
      </w:r>
      <w:r>
        <w:rPr>
          <w:b/>
          <w:bCs/>
        </w:rPr>
        <w:t>Automation bias</w:t>
      </w:r>
      <w:r>
        <w:rPr/>
        <w:t xml:space="preserve"> is the human tendency to treat an automated cue as a substitute for looking at the evidence oneself. It produces two error types: </w:t>
      </w:r>
      <w:r>
        <w:rPr>
          <w:b/>
          <w:bCs/>
        </w:rPr>
        <w:t>omission errors</w:t>
      </w:r>
      <w:r>
        <w:rPr/>
        <w:t xml:space="preserve">, failing to act when the system stays silent even though other information says act, and </w:t>
      </w:r>
      <w:r>
        <w:rPr>
          <w:b/>
          <w:bCs/>
        </w:rPr>
        <w:t>commission errors</w:t>
      </w:r>
      <w:r>
        <w:rPr/>
        <w:t>, following the system’s output even when available information contradicts it. In controlled studies, making people accountable for the accuracy of their decisions lowered both error types (Skitka, Mosier, and Burdick, 2000; full citation in the references). Oversight is a design problem with known failure modes and known countermeasures.</w:t>
      </w:r>
    </w:p>
    <w:p>
      <w:pPr>
        <w:pStyle w:val="Normal"/>
        <w:rPr/>
      </w:pPr>
      <w:r>
        <w:rPr/>
        <w:t xml:space="preserve">In this framework, </w:t>
      </w:r>
      <w:r>
        <w:rPr>
          <w:b/>
          <w:bCs/>
        </w:rPr>
        <w:t>oversight</w:t>
      </w:r>
      <w:r>
        <w:rPr/>
        <w:t xml:space="preserve"> means a named person, with authority they can use, information they can act on, time to look, and accountability for what they decide.</w:t>
      </w:r>
      <w:bookmarkEnd w:id="1"/>
    </w:p>
    <w:p>
      <w:pPr>
        <w:pStyle w:val="Heading2"/>
        <w:rPr/>
      </w:pPr>
      <w:bookmarkStart w:id="2" w:name="appoint-the-four-roles"/>
      <w:r>
        <w:rPr/>
        <w:t>3.2 Appoint the four roles</w:t>
      </w:r>
    </w:p>
    <w:p>
      <w:pPr>
        <w:pStyle w:val="Normal"/>
        <w:rPr/>
      </w:pPr>
      <w:r>
        <w:rPr/>
        <w:t>This is the minimum structure that makes the rest of the framework work in an institution with no compliance department. Four roles are the smallest set that keeps four things out of one pair of hands: accountability for the system, day-to-day operation, control of the data, and challenge from outside the project. The set is this framework’s design choice. The EU AI Act does not prescribe it: the Act asks deployers to assign oversight to people with competence, training, and authority, and these four roles are one way of doing that. One person can hold a role for several systems. The same person must never hold both the System Owner and Independent Reviewer roles for the same system.</w:t>
      </w:r>
    </w:p>
    <w:p>
      <w:pPr>
        <w:pStyle w:val="Normal"/>
        <w:rPr/>
      </w:pPr>
      <w:r>
        <w:rPr>
          <w:b/>
          <w:bCs/>
        </w:rPr>
        <w:t>The System Owner</w:t>
      </w:r>
      <w:r>
        <w:rPr/>
        <w:t xml:space="preserve"> is accountable for the system’s behaviour in service. One per system, senior enough to stop the system on their own authority without asking permission. They sign the procurement gate, the go-live gate, and the continued-operation reviews; they see the monthly monitoring summary; they own incident decisions above the operational level; and their name is on the system register entry. When something goes wrong, this is the person who answers for it, which is why the role must sit with someone who had the power to prevent it.</w:t>
      </w:r>
    </w:p>
    <w:p>
      <w:pPr>
        <w:pStyle w:val="Normal"/>
        <w:rPr/>
      </w:pPr>
      <w:r>
        <w:rPr>
          <w:b/>
          <w:bCs/>
        </w:rPr>
        <w:t>The Operational Lead</w:t>
      </w:r>
      <w:r>
        <w:rPr/>
        <w:t xml:space="preserve"> runs the system day to day. They review the monitoring, keep the acceptable-use note current, receive escalations from operators, hold the authority to pause the system for up to 48 hours on their own decision, and prepare the monthly summary for the System Owner. This is the largest recurring time commitment of the four.</w:t>
      </w:r>
    </w:p>
    <w:p>
      <w:pPr>
        <w:pStyle w:val="Normal"/>
        <w:rPr/>
      </w:pPr>
      <w:r>
        <w:rPr>
          <w:b/>
          <w:bCs/>
        </w:rPr>
        <w:t>The Data Steward</w:t>
      </w:r>
      <w:r>
        <w:rPr/>
        <w:t xml:space="preserve"> controls what data enters and leaves the system. They complete and sign the Module 5 pre-deployment data checklist, approve any change to the data the system receives or the destinations it sends to, and are the institution’s contact for data questions from auditors, regulators, or the vendor.</w:t>
      </w:r>
    </w:p>
    <w:p>
      <w:pPr>
        <w:pStyle w:val="Normal"/>
        <w:rPr/>
      </w:pPr>
      <w:r>
        <w:rPr>
          <w:b/>
          <w:bCs/>
        </w:rPr>
        <w:t>The Independent Reviewer</w:t>
      </w:r>
      <w:r>
        <w:rPr/>
        <w:t xml:space="preserve"> signs the pre-deployment readiness and go-live gates for Tier 2 systems, as someone with no stake in the system going live. They must sit outside the team deploying the system and have had no role in proposing or procuring it. In a small institution, a peer department head serves; two departments may review for each other, with the arrangement recorded in the register. Their job at the gate is written on the gate document: check that every checklist item claimed as done has a document behind it, and refuse the signature where one is missing.</w:t>
      </w:r>
    </w:p>
    <w:p>
      <w:pPr>
        <w:pStyle w:val="Normal"/>
        <w:keepNext w:val="true"/>
        <w:rPr/>
      </w:pPr>
      <w:r>
        <w:rPr>
          <w:b/>
          <w:bCs/>
        </w:rPr>
        <w:t>The cost, in hours.</w:t>
      </w:r>
      <w:r>
        <w:rPr/>
        <w:t xml:space="preserve"> These are framework defaults; adjust them to your setting, and record what you chose on the register. Numbers are per month in steady operation, with one-time costs shown separately.</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1748"/>
        <w:gridCol w:w="2066"/>
        <w:gridCol w:w="1292"/>
        <w:gridCol w:w="1875"/>
        <w:gridCol w:w="2317"/>
      </w:tblGrid>
      <w:tr>
        <w:trPr>
          <w:tblHeader w:val="true"/>
          <w:cantSplit w:val="true"/>
        </w:trPr>
        <w:tc>
          <w:tcPr>
            <w:tcW w:w="174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Role</w:t>
            </w:r>
          </w:p>
        </w:tc>
        <w:tc>
          <w:tcPr>
            <w:tcW w:w="2066"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Steady state, one Tier 2 system</w:t>
            </w:r>
          </w:p>
        </w:tc>
        <w:tc>
          <w:tcPr>
            <w:tcW w:w="129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Steady state, Tier 3</w:t>
            </w:r>
          </w:p>
        </w:tc>
        <w:tc>
          <w:tcPr>
            <w:tcW w:w="187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Tier 4</w:t>
            </w:r>
          </w:p>
        </w:tc>
        <w:tc>
          <w:tcPr>
            <w:tcW w:w="231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One-time (procurement through go-live)</w:t>
            </w:r>
          </w:p>
        </w:tc>
      </w:tr>
      <w:tr>
        <w:trPr>
          <w:cantSplit w:val="true"/>
        </w:trPr>
        <w:tc>
          <w:tcPr>
            <w:tcW w:w="17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w:t>
            </w:r>
          </w:p>
        </w:tc>
        <w:tc>
          <w:tcPr>
            <w:tcW w:w="206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4 hours per month</w:t>
            </w:r>
          </w:p>
        </w:tc>
        <w:tc>
          <w:tcPr>
            <w:tcW w:w="129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1 hour per month</w:t>
            </w:r>
          </w:p>
        </w:tc>
        <w:tc>
          <w:tcPr>
            <w:tcW w:w="18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1 hour per quarter for a portfolio of tools</w:t>
            </w:r>
          </w:p>
        </w:tc>
        <w:tc>
          <w:tcPr>
            <w:tcW w:w="231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10 to 15 hours across the gates</w:t>
            </w:r>
          </w:p>
        </w:tc>
      </w:tr>
      <w:tr>
        <w:trPr>
          <w:cantSplit w:val="true"/>
        </w:trPr>
        <w:tc>
          <w:tcPr>
            <w:tcW w:w="17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w:t>
            </w:r>
          </w:p>
        </w:tc>
        <w:tc>
          <w:tcPr>
            <w:tcW w:w="206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8 hours per month</w:t>
            </w:r>
          </w:p>
        </w:tc>
        <w:tc>
          <w:tcPr>
            <w:tcW w:w="129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3 hours per month</w:t>
            </w:r>
          </w:p>
        </w:tc>
        <w:tc>
          <w:tcPr>
            <w:tcW w:w="18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Covered by normal IT duties</w:t>
            </w:r>
          </w:p>
        </w:tc>
        <w:tc>
          <w:tcPr>
            <w:tcW w:w="231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20 to 30 hours, mostly in validation and rollout (Module 6)</w:t>
            </w:r>
          </w:p>
        </w:tc>
      </w:tr>
      <w:tr>
        <w:trPr>
          <w:cantSplit w:val="true"/>
        </w:trPr>
        <w:tc>
          <w:tcPr>
            <w:tcW w:w="17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Steward</w:t>
            </w:r>
          </w:p>
        </w:tc>
        <w:tc>
          <w:tcPr>
            <w:tcW w:w="206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2 hours per month</w:t>
            </w:r>
          </w:p>
        </w:tc>
        <w:tc>
          <w:tcPr>
            <w:tcW w:w="129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1 hour per month</w:t>
            </w:r>
          </w:p>
        </w:tc>
        <w:tc>
          <w:tcPr>
            <w:tcW w:w="18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One-time checks only</w:t>
            </w:r>
          </w:p>
        </w:tc>
        <w:tc>
          <w:tcPr>
            <w:tcW w:w="231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8 to 12 hours, mostly the Module 5 checklist</w:t>
            </w:r>
          </w:p>
        </w:tc>
      </w:tr>
      <w:tr>
        <w:trPr>
          <w:cantSplit w:val="true"/>
        </w:trPr>
        <w:tc>
          <w:tcPr>
            <w:tcW w:w="174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Independent Reviewer</w:t>
            </w:r>
          </w:p>
        </w:tc>
        <w:tc>
          <w:tcPr>
            <w:tcW w:w="206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None (gate work only)</w:t>
            </w:r>
          </w:p>
        </w:tc>
        <w:tc>
          <w:tcPr>
            <w:tcW w:w="129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None</w:t>
            </w:r>
          </w:p>
        </w:tc>
        <w:tc>
          <w:tcPr>
            <w:tcW w:w="187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None</w:t>
            </w:r>
          </w:p>
        </w:tc>
        <w:tc>
          <w:tcPr>
            <w:tcW w:w="231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About 8 hours per gate, twice</w:t>
            </w:r>
          </w:p>
        </w:tc>
      </w:tr>
    </w:tbl>
    <w:p>
      <w:pPr>
        <w:pStyle w:val="Normal"/>
        <w:spacing w:before="160" w:after="100"/>
        <w:rPr/>
      </w:pPr>
      <w:r>
        <w:rPr/>
        <w:t>Total for one Tier 2 system in steady operation: roughly 14 hours per month across the roles. Leadership approves these hours when it approves the system; the one-page orientation in Module 1 asks for that.</w:t>
      </w:r>
    </w:p>
    <w:p>
      <w:pPr>
        <w:pStyle w:val="Normal"/>
        <w:rPr/>
      </w:pPr>
      <w:r>
        <w:rPr>
          <w:b/>
          <w:bCs/>
        </w:rPr>
        <w:t>Continuity rules.</w:t>
      </w:r>
      <w:r>
        <w:rPr/>
        <w:t xml:space="preserve"> Roles are held by name in the system register. When a holder leaves or moves, a written handover happens within two weeks: the register is updated, and the incoming holder receives the system’s worksheet, limitations statement, and last three monitoring summaries. A Tier 2 system whose System Owner or Operational Lead role has been vacant for more than 30 days (a framework default) fails its next continued-operation gate automatically.</w:t>
      </w:r>
    </w:p>
    <w:p>
      <w:pPr>
        <w:pStyle w:val="Normal"/>
        <w:rPr/>
      </w:pPr>
      <w:r>
        <w:rPr>
          <w:b/>
          <w:bCs/>
        </w:rPr>
        <w:t>Shared systems.</w:t>
      </w:r>
      <w:r>
        <w:rPr/>
        <w:t xml:space="preserve"> Where one platform serves many institutions (a ministry platform used by hundreds of facilities), each deploying institution names its own System Owner and Operational Lead for its own use, and the platform operator holds a System Owner for the platform itself. Each institution’s pause authority covers its own use; only the platform owner can pause the platform.</w:t>
      </w:r>
      <w:bookmarkEnd w:id="2"/>
    </w:p>
    <w:p>
      <w:pPr>
        <w:pStyle w:val="Heading2"/>
        <w:rPr/>
      </w:pPr>
      <w:bookmarkStart w:id="3" w:name="set-the-four-gates"/>
      <w:r>
        <w:rPr/>
        <w:t>3.3 Set the four gates</w:t>
      </w:r>
    </w:p>
    <w:p>
      <w:pPr>
        <w:pStyle w:val="Normal"/>
        <w:keepNext w:val="true"/>
        <w:rPr/>
      </w:pPr>
      <w:r>
        <w:rPr/>
        <w:t xml:space="preserve">A gate is a point where a named person signs a named document, and the system does not move forward without the signature. Four gates cover the lifecycle. </w:t>
      </w:r>
      <w:r>
        <w:rPr>
          <w:b/>
          <w:bCs/>
        </w:rPr>
        <w:t>A gate without a signature is a gate not passed.</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1533"/>
        <w:gridCol w:w="3297"/>
        <w:gridCol w:w="2049"/>
        <w:gridCol w:w="952"/>
        <w:gridCol w:w="1467"/>
      </w:tblGrid>
      <w:tr>
        <w:trPr>
          <w:tblHeader w:val="true"/>
          <w:cantSplit w:val="true"/>
        </w:trPr>
        <w:tc>
          <w:tcPr>
            <w:tcW w:w="153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Gate</w:t>
            </w:r>
          </w:p>
        </w:tc>
        <w:tc>
          <w:tcPr>
            <w:tcW w:w="329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What is signed</w:t>
            </w:r>
          </w:p>
        </w:tc>
        <w:tc>
          <w:tcPr>
            <w:tcW w:w="204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Who signs (Tier 2)</w:t>
            </w:r>
          </w:p>
        </w:tc>
        <w:tc>
          <w:tcPr>
            <w:tcW w:w="95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Tier 3</w:t>
            </w:r>
          </w:p>
        </w:tc>
        <w:tc>
          <w:tcPr>
            <w:tcW w:w="146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Tier 4</w:t>
            </w:r>
          </w:p>
        </w:tc>
      </w:tr>
      <w:tr>
        <w:trPr>
          <w:cantSplit w:val="true"/>
        </w:trPr>
        <w:tc>
          <w:tcPr>
            <w:tcW w:w="153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G1: Procurement approval</w:t>
            </w:r>
          </w:p>
        </w:tc>
        <w:tc>
          <w:tcPr>
            <w:tcW w:w="329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Module 4 due diligence checklist, passed at tier threshold, with the risk worksheet attached</w:t>
            </w:r>
          </w:p>
        </w:tc>
        <w:tc>
          <w:tcPr>
            <w:tcW w:w="204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w:t>
            </w:r>
          </w:p>
        </w:tc>
        <w:tc>
          <w:tcPr>
            <w:tcW w:w="95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w:t>
            </w:r>
          </w:p>
        </w:tc>
        <w:tc>
          <w:tcPr>
            <w:tcW w:w="146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w:t>
            </w:r>
          </w:p>
        </w:tc>
      </w:tr>
      <w:tr>
        <w:trPr>
          <w:cantSplit w:val="true"/>
        </w:trPr>
        <w:tc>
          <w:tcPr>
            <w:tcW w:w="153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G2: Pre-deployment readiness</w:t>
            </w:r>
          </w:p>
        </w:tc>
        <w:tc>
          <w:tcPr>
            <w:tcW w:w="329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Module 5 data checklist and the Module 6 validation results against the pre-agreed criteria</w:t>
            </w:r>
          </w:p>
        </w:tc>
        <w:tc>
          <w:tcPr>
            <w:tcW w:w="204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Steward (data) and Independent Reviewer (whole)</w:t>
            </w:r>
          </w:p>
        </w:tc>
        <w:tc>
          <w:tcPr>
            <w:tcW w:w="95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Steward</w:t>
            </w:r>
          </w:p>
        </w:tc>
        <w:tc>
          <w:tcPr>
            <w:tcW w:w="146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checks only</w:t>
            </w:r>
          </w:p>
        </w:tc>
      </w:tr>
      <w:tr>
        <w:trPr>
          <w:cantSplit w:val="true"/>
        </w:trPr>
        <w:tc>
          <w:tcPr>
            <w:tcW w:w="153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G3: Go-live</w:t>
            </w:r>
          </w:p>
        </w:tc>
        <w:tc>
          <w:tcPr>
            <w:tcW w:w="329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go-live section of the Module 6 lifecycle checklist, including monitoring plan, incident plan, and appeal channel in place</w:t>
            </w:r>
          </w:p>
        </w:tc>
        <w:tc>
          <w:tcPr>
            <w:tcW w:w="204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 and Independent Reviewer</w:t>
            </w:r>
          </w:p>
        </w:tc>
        <w:tc>
          <w:tcPr>
            <w:tcW w:w="95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w:t>
            </w:r>
          </w:p>
        </w:tc>
        <w:tc>
          <w:tcPr>
            <w:tcW w:w="146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w:t>
            </w:r>
          </w:p>
        </w:tc>
      </w:tr>
      <w:tr>
        <w:trPr>
          <w:cantSplit w:val="true"/>
        </w:trPr>
        <w:tc>
          <w:tcPr>
            <w:tcW w:w="153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G4: Continued operation</w:t>
            </w:r>
          </w:p>
        </w:tc>
        <w:tc>
          <w:tcPr>
            <w:tcW w:w="329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periodic review record: monitoring against thresholds, revalidation result, role continuity</w:t>
            </w:r>
          </w:p>
        </w:tc>
        <w:tc>
          <w:tcPr>
            <w:tcW w:w="204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 every 12 months and after any Module 2 re-tier trigger</w:t>
            </w:r>
          </w:p>
        </w:tc>
        <w:tc>
          <w:tcPr>
            <w:tcW w:w="95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 every 12 months</w:t>
            </w:r>
          </w:p>
        </w:tc>
        <w:tc>
          <w:tcPr>
            <w:tcW w:w="146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Every 24 months</w:t>
            </w:r>
          </w:p>
        </w:tc>
      </w:tr>
    </w:tbl>
    <w:p>
      <w:pPr>
        <w:pStyle w:val="Normal"/>
        <w:spacing w:before="160" w:after="100"/>
        <w:rPr/>
      </w:pPr>
      <w:bookmarkStart w:id="4" w:name="set-the-four-gates"/>
      <w:r>
        <w:rPr/>
        <w:t>Each signed gate document is filed in the system register (Module 7). The gates are where the four roles’ authority becomes visible: G2 and G3 are the places where the Independent Reviewer’s refusal, or the Data Steward’s unfinished checklist, stops a launch that momentum would otherwise carry. If leadership decides to proceed over an Independent Reviewer’s refusal, it may do so only in writing, recorded in the register beside the refusal, as a risk acceptance signed at leadership level.</w:t>
      </w:r>
      <w:bookmarkEnd w:id="4"/>
    </w:p>
    <w:p>
      <w:pPr>
        <w:pStyle w:val="Heading2"/>
        <w:rPr/>
      </w:pPr>
      <w:bookmarkStart w:id="5" w:name="make-oversight-real"/>
      <w:r>
        <w:rPr/>
        <w:t>3.4 Make oversight real</w:t>
      </w:r>
    </w:p>
    <w:p>
      <w:pPr>
        <w:pStyle w:val="Normal"/>
        <w:rPr/>
      </w:pPr>
      <w:r>
        <w:rPr/>
        <w:t>For every Tier 2 system, design the human review around these four elements, in writing, before go-live. The design is one page; Artifact 3b’s Operational Lead definition says who drafts it and the G3 gate is where it is checked. A review arrangement missing any one of the four is nominal, and section 3.5 tells you how to catch it.</w:t>
      </w:r>
    </w:p>
    <w:p>
      <w:pPr>
        <w:pStyle w:val="Normal"/>
        <w:rPr/>
      </w:pPr>
      <w:r>
        <w:rPr>
          <w:b/>
          <w:bCs/>
        </w:rPr>
        <w:t>Authority.</w:t>
      </w:r>
      <w:r>
        <w:rPr/>
        <w:t xml:space="preserve"> The reviewer can overrule the system’s output in the individual case, and can trigger a pause of the system, without asking anyone’s permission first. Both powers are written in their role or job description, and the override is executable in the tools they use: if rejecting the system’s recommendation takes four approvals and a form the software does not provide, the authority is fictional whatever the paper says. Test it before go-live: have a reviewer override a live-like case end to end, and time it.</w:t>
      </w:r>
    </w:p>
    <w:p>
      <w:pPr>
        <w:pStyle w:val="Normal"/>
        <w:rPr/>
      </w:pPr>
      <w:r>
        <w:rPr>
          <w:b/>
          <w:bCs/>
        </w:rPr>
        <w:t>Capacity</w:t>
      </w:r>
      <w:r>
        <w:rPr/>
        <w:t xml:space="preserve"> is training plus time, and both are measurable.</w:t>
      </w:r>
    </w:p>
    <w:p>
      <w:pPr>
        <w:pStyle w:val="ListParagraph"/>
        <w:numPr>
          <w:ilvl w:val="0"/>
          <w:numId w:val="1"/>
        </w:numPr>
        <w:rPr/>
      </w:pPr>
      <w:r>
        <w:rPr/>
        <w:t>Training: every reviewer has read the system’s limitations statement (the document Module 4.2.3 extracted from the vendor) and has seen worked examples of the system being wrong, drawn from validation. Refresh when the model updates (Module 6).</w:t>
      </w:r>
    </w:p>
    <w:p>
      <w:pPr>
        <w:pStyle w:val="ListParagraph"/>
        <w:numPr>
          <w:ilvl w:val="0"/>
          <w:numId w:val="1"/>
        </w:numPr>
        <w:rPr/>
      </w:pPr>
      <w:r>
        <w:rPr/>
        <w:t>Time: during shadow mode (Module 6), measure how many minutes a review of one case takes. That number becomes the review budget. Then do the division that the Module 2 worksheet already forced: expected outputs per week, divided by reviewers, against the budget. If the arithmetic does not fit inside real working hours, the design changes now: more reviewers, a triage rule that routes only some outputs to full review (for example: full review for every adverse recommendation, sampling at a stated percentage for the rest, with the split written in the oversight design), or a narrower deployment. What must never close the gap is silently shrinking the minutes.</w:t>
      </w:r>
    </w:p>
    <w:p>
      <w:pPr>
        <w:pStyle w:val="Normal"/>
        <w:rPr/>
      </w:pPr>
      <w:r>
        <w:rPr>
          <w:b/>
          <w:bCs/>
        </w:rPr>
        <w:t>Information.</w:t>
      </w:r>
      <w:r>
        <w:rPr/>
        <w:t xml:space="preserve"> The reviewer sees, at minimum: the system’s output; the inputs it was based on; whatever the system can show about its reasoning or confidence (the answer to vendor question 11 in Module 4.4); and the underlying record itself, one click away. A reviewer shown only a score and an approve button has been staged for commission errors, because the design has removed every piece of information that could contradict the system.</w:t>
      </w:r>
    </w:p>
    <w:p>
      <w:pPr>
        <w:pStyle w:val="Normal"/>
        <w:rPr/>
      </w:pPr>
      <w:r>
        <w:rPr>
          <w:b/>
          <w:bCs/>
        </w:rPr>
        <w:t>Consequence.</w:t>
      </w:r>
      <w:r>
        <w:rPr/>
        <w:t xml:space="preserve"> Decisions leave a trace, and the trace is looked at. For adverse Tier 2 decisions, the reviewer records a one-line reason when approving the system’s recommendation, in their own words. This is the accountability that the research says lowers both error types, and it costs fifteen seconds per case. Overrides are recorded with reasons too, and the monthly monitoring review reads both streams. The protective half of consequence is stated in writing: no one is penalised for overriding the system or triggering a pause in good faith, and if a manager reverses a reviewer’s override, that reversal is itself recorded and lands in the System Owner’s monthly summary.</w:t>
      </w:r>
    </w:p>
    <w:p>
      <w:pPr>
        <w:pStyle w:val="Normal"/>
        <w:rPr/>
      </w:pPr>
      <w:bookmarkStart w:id="6" w:name="make-oversight-real"/>
      <w:r>
        <w:rPr/>
        <w:t>By tier: Tier 2 gets all four elements, designed and gate-checked as above. Tier 3 gets authority and information (a named person who can pause, seeing forecasts beside actuals). Tier 4 gets the acceptable-use note and a named Operational Lead, which is oversight enough for tools whose errors cost rework.</w:t>
      </w:r>
      <w:bookmarkEnd w:id="6"/>
    </w:p>
    <w:p>
      <w:pPr>
        <w:pStyle w:val="Heading2"/>
        <w:rPr/>
      </w:pPr>
      <w:bookmarkStart w:id="7" w:name="X8e6718bff5749d2544b902508cec689e1061bc7"/>
      <w:r>
        <w:rPr/>
        <w:t>3.5 The rubber-stamp trap, and the countermeasures</w:t>
      </w:r>
    </w:p>
    <w:p>
      <w:pPr>
        <w:pStyle w:val="Normal"/>
        <w:rPr/>
      </w:pPr>
      <w:r>
        <w:rPr/>
        <w:t>A reviewer approving everything looks, from every dashboard, like a system that is always right. These countermeasures make the difference visible, and each comes with a number.</w:t>
      </w:r>
    </w:p>
    <w:p>
      <w:pPr>
        <w:pStyle w:val="Normal"/>
        <w:rPr/>
      </w:pPr>
      <w:r>
        <w:rPr>
          <w:b/>
          <w:bCs/>
        </w:rPr>
        <w:t>1. Track override rates, and treat quiet as a signal.</w:t>
      </w:r>
      <w:r>
        <w:rPr/>
        <w:t xml:space="preserve"> The monthly monitoring summary (Module 6) reports, per system and per reviewer: cases reviewed, approvals, overrides, and the reason categories. Investigate when the override rate stays below 1 percent for a quarter at meaningful volume, framework default: 500 or more cases in the quarter (a thousand-case quarter with three overrides means the humans have stopped looking or the system has become perfect). Investigate equally when it exceeds 30 percent (the system and its reviewers disagree so often that either the system is misfiring or trust has broken, and both are findings). Both percentages are framework defaults: set your two thresholds at go-live and write them on the monitoring plan.</w:t>
      </w:r>
    </w:p>
    <w:p>
      <w:pPr>
        <w:pStyle w:val="Normal"/>
        <w:rPr/>
      </w:pPr>
      <w:r>
        <w:rPr>
          <w:b/>
          <w:bCs/>
        </w:rPr>
        <w:t>2. Blind second review of a sample.</w:t>
      </w:r>
      <w:r>
        <w:rPr/>
        <w:t xml:space="preserve"> Each month, a second reviewer re-decides a sample of cases without seeing the system’s output or the first reviewer’s decision: 2 percent of cases or 10 cases, whichever is larger. Compare. Disagreement between the blind reviewer and the recorded decisions is the direct measurement of what the system-plus-reviewer pipeline is doing to outcomes, and four hours a month of a second reviewer’s time is what the measurement costs.</w:t>
      </w:r>
    </w:p>
    <w:p>
      <w:pPr>
        <w:pStyle w:val="Normal"/>
        <w:rPr/>
      </w:pPr>
      <w:r>
        <w:rPr>
          <w:b/>
          <w:bCs/>
        </w:rPr>
        <w:t>3. Seeded test cases, where the workflow permits.</w:t>
      </w:r>
      <w:r>
        <w:rPr/>
        <w:t xml:space="preserve"> Quarterly, insert a small number of known cases whose correct handling is already established (synthetic records in queue-based workflows such as claims, applications, or document review; never in workflows where a test case could touch a real person’s care or file). A reviewer who waves through a seeded clear failure gets the retraining in 3.4; a second miss moves them off review duty for that system. Tell reviewers seeding exists and never when. Where seeding is impracticable, say so in the oversight design and lean harder on countermeasure 2. </w:t>
      </w:r>
      <w:r>
        <w:rPr>
          <w:b/>
          <w:bCs/>
        </w:rPr>
        <w:t>Check locally:</w:t>
      </w:r>
      <w:r>
        <w:rPr/>
        <w:t xml:space="preserve"> reviewer performance measures in this section, seeding included, must comply with local employment law and any staff representation or collective agreements; the existence of seeding is disclosed policy rather than covert surveillance, and only its timing is undisclosed.</w:t>
      </w:r>
    </w:p>
    <w:p>
      <w:pPr>
        <w:pStyle w:val="Normal"/>
        <w:rPr/>
      </w:pPr>
      <w:r>
        <w:rPr>
          <w:b/>
          <w:bCs/>
        </w:rPr>
        <w:t>4. Written reasons for approvals</w:t>
      </w:r>
      <w:r>
        <w:rPr/>
        <w:t>, per 3.4’s consequence element, on adverse Tier 2 decisions. Reasons of “as per system” count as no reason, and the Operational Lead’s monthly read of a reason sample is on the RACI.</w:t>
      </w:r>
    </w:p>
    <w:p>
      <w:pPr>
        <w:pStyle w:val="Normal"/>
        <w:rPr/>
      </w:pPr>
      <w:r>
        <w:rPr>
          <w:b/>
          <w:bCs/>
        </w:rPr>
        <w:t>5. Rotate.</w:t>
      </w:r>
      <w:r>
        <w:rPr/>
        <w:t xml:space="preserve"> No single reviewer owns a Tier 2 review queue alone for more than 12 months without rotation or a second chair.</w:t>
      </w:r>
    </w:p>
    <w:p>
      <w:pPr>
        <w:pStyle w:val="Normal"/>
        <w:rPr/>
      </w:pPr>
      <w:bookmarkStart w:id="8" w:name="X8e6718bff5749d2544b902508cec689e1061bc7"/>
      <w:r>
        <w:rPr/>
        <w:t>The five countermeasures cost, together, on the order of a working day per month for a Tier 2 system.</w:t>
      </w:r>
      <w:bookmarkEnd w:id="8"/>
    </w:p>
    <w:p>
      <w:pPr>
        <w:pStyle w:val="Heading2"/>
        <w:rPr/>
      </w:pPr>
      <w:bookmarkStart w:id="9" w:name="escalation-and-the-pause-rule"/>
      <w:r>
        <w:rPr/>
        <w:t>3.6 Escalation, and the pause rule</w:t>
      </w:r>
    </w:p>
    <w:p>
      <w:pPr>
        <w:pStyle w:val="Normal"/>
        <w:keepNext w:val="true"/>
        <w:rPr/>
      </w:pPr>
      <w:r>
        <w:rPr/>
        <w:t>Escalation is a ladder with times on it, published to everyone who touches the system, one page, posted where operators see it. The framework default:</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5605"/>
        <w:gridCol w:w="2651"/>
        <w:gridCol w:w="1042"/>
      </w:tblGrid>
      <w:tr>
        <w:trPr>
          <w:tblHeader w:val="true"/>
          <w:cantSplit w:val="true"/>
        </w:trPr>
        <w:tc>
          <w:tcPr>
            <w:tcW w:w="560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Step</w:t>
            </w:r>
          </w:p>
        </w:tc>
        <w:tc>
          <w:tcPr>
            <w:tcW w:w="265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Who</w:t>
            </w:r>
          </w:p>
        </w:tc>
        <w:tc>
          <w:tcPr>
            <w:tcW w:w="104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Time</w:t>
            </w:r>
          </w:p>
        </w:tc>
      </w:tr>
      <w:tr>
        <w:trPr>
          <w:cantSplit w:val="true"/>
        </w:trPr>
        <w:tc>
          <w:tcPr>
            <w:tcW w:w="56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Any operator, reviewer, or appeal channel raises a concern</w:t>
            </w:r>
          </w:p>
        </w:tc>
        <w:tc>
          <w:tcPr>
            <w:tcW w:w="265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To the Operational Lead, same working day</w:t>
            </w:r>
          </w:p>
        </w:tc>
        <w:tc>
          <w:tcPr>
            <w:tcW w:w="104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Hour zero</w:t>
            </w:r>
          </w:p>
        </w:tc>
      </w:tr>
      <w:tr>
        <w:trPr>
          <w:cantSplit w:val="true"/>
        </w:trPr>
        <w:tc>
          <w:tcPr>
            <w:tcW w:w="56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 assesses; may pause the system on own authority (up to 48 hours)</w:t>
            </w:r>
          </w:p>
        </w:tc>
        <w:tc>
          <w:tcPr>
            <w:tcW w:w="265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Decision to pause or continue, recorded with one line of reasoning</w:t>
            </w:r>
          </w:p>
        </w:tc>
        <w:tc>
          <w:tcPr>
            <w:tcW w:w="104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Within 4 working hours</w:t>
            </w:r>
          </w:p>
        </w:tc>
      </w:tr>
      <w:tr>
        <w:trPr>
          <w:cantSplit w:val="true"/>
        </w:trPr>
        <w:tc>
          <w:tcPr>
            <w:tcW w:w="56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 informed of every pause and every Severity 1 or 2 concern (Severity 1: wrong or harmful outputs are reaching people now; Severity 2: the system is unavailable or known to be producing unreliable outputs but they are contained; definitions in the incident list, Module 6.6)</w:t>
            </w:r>
          </w:p>
        </w:tc>
        <w:tc>
          <w:tcPr>
            <w:tcW w:w="265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Confirms, extends, or lifts the pause; declares an incident if the Module 6 definition is met</w:t>
            </w:r>
          </w:p>
        </w:tc>
        <w:tc>
          <w:tcPr>
            <w:tcW w:w="104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Within 24 hours</w:t>
            </w:r>
          </w:p>
        </w:tc>
      </w:tr>
      <w:tr>
        <w:trPr>
          <w:cantSplit w:val="true"/>
        </w:trPr>
        <w:tc>
          <w:tcPr>
            <w:tcW w:w="56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Incident path (Module 6) takes over if declared</w:t>
            </w:r>
          </w:p>
        </w:tc>
        <w:tc>
          <w:tcPr>
            <w:tcW w:w="265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Containment, assessment, notification per the incident template</w:t>
            </w:r>
          </w:p>
        </w:tc>
        <w:tc>
          <w:tcPr>
            <w:tcW w:w="104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Per the Module 6 clock</w:t>
            </w:r>
          </w:p>
        </w:tc>
      </w:tr>
    </w:tbl>
    <w:p>
      <w:pPr>
        <w:pStyle w:val="Normal"/>
        <w:spacing w:before="160" w:after="100"/>
        <w:rPr/>
      </w:pPr>
      <w:r>
        <w:rPr>
          <w:b/>
          <w:bCs/>
        </w:rPr>
        <w:t>The pause rule:</w:t>
      </w:r>
      <w:r>
        <w:rPr/>
        <w:t xml:space="preserve"> anyone who works with the system can request a pause review, the request cannot be refused silently (the Operational Lead’s 4-hour decision and one-line reasoning are mandatory), and no one is penalised for a good-faith request, in writing, in the oversight design. </w:t>
      </w:r>
      <w:r>
        <w:rPr>
          <w:b/>
          <w:bCs/>
        </w:rPr>
        <w:t>The bypass rule:</w:t>
      </w:r>
      <w:r>
        <w:rPr/>
        <w:t xml:space="preserve"> if a pause or an override is bypassed or reversed by anyone, the bypass is recorded and appears in the System Owner’s next summary; a bypass whose output reached an affected person is an incident under the Module 6 definition. </w:t>
      </w:r>
      <w:r>
        <w:rPr>
          <w:b/>
          <w:bCs/>
        </w:rPr>
        <w:t>The Severity 1 rule:</w:t>
      </w:r>
      <w:r>
        <w:rPr/>
        <w:t xml:space="preserve"> where a system’s output is about to reach a person and a reviewer believes it is wrong or harmful, stopping that single output is within every reviewer’s existing authority under 3.4, and needs no ladder at all.</w:t>
      </w:r>
    </w:p>
    <w:p>
      <w:pPr>
        <w:pStyle w:val="Normal"/>
        <w:rPr/>
      </w:pPr>
      <w:bookmarkStart w:id="10" w:name="escalation-and-the-pause-rule"/>
      <w:r>
        <w:rPr/>
        <w:t>Where a vendor-hosted system offers no pause control, the pause is executed on your side: suspend the institution’s use of the outputs, route the work back to the manual process, and instruct the vendor under the support clause (Module 4.3.12). And for systems supporting emergency operations, the pause rule operates through the fallback: the Module 6 rule that no high-stakes system stops into a vacuum applies to pauses too, so the oversight design names the fallback that takes the load the moment a pause lands.</w:t>
      </w:r>
      <w:bookmarkEnd w:id="10"/>
    </w:p>
    <w:p>
      <w:pPr>
        <w:pStyle w:val="Heading2"/>
        <w:keepNext w:val="true"/>
        <w:rPr/>
      </w:pPr>
      <w:r>
        <w:rPr/>
        <w:t>3.7 Where this module sits in existing standards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1673"/>
        <w:gridCol w:w="7624"/>
      </w:tblGrid>
      <w:tr>
        <w:trPr>
          <w:tblHeader w:val="true"/>
          <w:cantSplit w:val="true"/>
        </w:trPr>
        <w:tc>
          <w:tcPr>
            <w:tcW w:w="167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This module</w:t>
            </w:r>
          </w:p>
        </w:tc>
        <w:tc>
          <w:tcPr>
            <w:tcW w:w="7624"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Where it maps</w:t>
            </w:r>
          </w:p>
        </w:tc>
      </w:tr>
      <w:tr>
        <w:trPr>
          <w:cantSplit w:val="true"/>
        </w:trPr>
        <w:tc>
          <w:tcPr>
            <w:tcW w:w="167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Named roles, decision rights, gates</w:t>
            </w:r>
          </w:p>
        </w:tc>
        <w:tc>
          <w:tcPr>
            <w:tcW w:w="76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NIST AI RMF Govern function: accountability structures, defined roles and responsibilities, and organisational culture around AI risk. ISO/IEC 42001’s leadership and roles clauses: management responsibility assigned and documented within the management system.</w:t>
            </w:r>
          </w:p>
        </w:tc>
      </w:tr>
      <w:tr>
        <w:trPr>
          <w:cantSplit w:val="true"/>
        </w:trPr>
        <w:tc>
          <w:tcPr>
            <w:tcW w:w="167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3.4’s four elements of real oversight</w:t>
            </w:r>
          </w:p>
        </w:tc>
        <w:tc>
          <w:tcPr>
            <w:tcW w:w="76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EU AI Act’s human oversight requirements for high-risk systems: oversight by persons able to understand the system’s capacities and limitations, to interpret outputs, to decide not to use them, and to intervene or interrupt. The Act also requires deployers to assign oversight to people with the training and authority to carry it out. Precise article references in the annex.</w:t>
            </w:r>
          </w:p>
        </w:tc>
      </w:tr>
      <w:tr>
        <w:trPr>
          <w:cantSplit w:val="true"/>
        </w:trPr>
        <w:tc>
          <w:tcPr>
            <w:tcW w:w="167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3.5’s countermeasures</w:t>
            </w:r>
          </w:p>
        </w:tc>
        <w:tc>
          <w:tcPr>
            <w:tcW w:w="76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AI RMF Measure and Manage functions applied to the human layer: the oversight arrangement is itself monitored, measured, and corrected.</w:t>
            </w:r>
          </w:p>
        </w:tc>
      </w:tr>
      <w:tr>
        <w:trPr>
          <w:cantSplit w:val="true"/>
        </w:trPr>
        <w:tc>
          <w:tcPr>
            <w:tcW w:w="167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pause rule and recorded reversals</w:t>
            </w:r>
          </w:p>
        </w:tc>
        <w:tc>
          <w:tcPr>
            <w:tcW w:w="76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accountability principle in the OECD AI Principles and the UNESCO Recommendation, and UNESCO’s insistence on human determination: a human can always decide, and the record shows who did.</w:t>
            </w:r>
            <w:bookmarkStart w:id="11" w:name="X875068f31dc64b4b70da619b708188c400b728c"/>
            <w:bookmarkEnd w:id="11"/>
          </w:p>
        </w:tc>
      </w:tr>
    </w:tbl>
    <w:p>
      <w:pPr>
        <w:pStyle w:val="Heading2"/>
        <w:pageBreakBefore/>
        <w:rPr/>
      </w:pPr>
      <w:r>
        <w:rPr/>
        <w:t>Artifact 3a: Governance RACI</w:t>
      </w:r>
    </w:p>
    <w:p>
      <w:pPr>
        <w:pStyle w:val="Boxtext"/>
        <w:keepNext w:val="true"/>
        <w:rPr/>
      </w:pPr>
      <w:r>
        <w:rPr>
          <w:b/>
          <w:bCs/>
        </w:rPr>
        <w:t>Standalone artifact.</w:t>
      </w:r>
      <w:r>
        <w:rPr/>
        <w:t xml:space="preserve"> Open AI Governance and Deployment Framework, Version 1.0. Licence: CC BY 4.0. R = Responsible (does the work). A = Accountable (answers for it). C = Consulted. I = Informed. Adjust to your structure and file the adjusted version in the system register. Tier note: this chart shows the Tier 2 allocation. At Tier 3, the Independent Reviewer column falls away (Module 3.2). At Tier 4, the Operational Lead holds the A for the G1 and G3 gate rows, per the gate table in Module 3.3.</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3345"/>
        <w:gridCol w:w="1262"/>
        <w:gridCol w:w="1471"/>
        <w:gridCol w:w="1401"/>
        <w:gridCol w:w="1819"/>
      </w:tblGrid>
      <w:tr>
        <w:trPr>
          <w:tblHeader w:val="true"/>
          <w:cantSplit w:val="true"/>
        </w:trPr>
        <w:tc>
          <w:tcPr>
            <w:tcW w:w="334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Activity</w:t>
            </w:r>
          </w:p>
        </w:tc>
        <w:tc>
          <w:tcPr>
            <w:tcW w:w="126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Owner</w:t>
            </w:r>
          </w:p>
        </w:tc>
        <w:tc>
          <w:tcPr>
            <w:tcW w:w="147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Operational Lead</w:t>
            </w:r>
          </w:p>
        </w:tc>
        <w:tc>
          <w:tcPr>
            <w:tcW w:w="140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Data Steward</w:t>
            </w:r>
          </w:p>
        </w:tc>
        <w:tc>
          <w:tcPr>
            <w:tcW w:w="181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Independent Reviewer</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 classification worksheet (Module 2)</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(confirms Tier 2)</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(confirms below Tier 2, if peer)</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Tender demands and vendor interview (Module 4)</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(data demands)</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Due diligence checklist and G1 signature</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Contract signature readiness (clauses, counsel review)</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Pre-deployment data checklist (Module 5)</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and R</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Validation on own data (Module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G2 readiness signature</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 (data part)</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(whole)</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Oversight design (3.4 one-pager)</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(checks at G3)</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G3 go-live signature</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 (evidence pack)</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(joint)</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Monthly monitoring review and summary (Module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 (receives)</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and 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(data metrics)</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Override, reason, and blind-sample review (3.5)</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and 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Pause decisions (3.6)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 (beyond 48 hours)</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 (first 48 hours)</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Incident declaration and response (Module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 (data incidents: R)</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Vendor update acceptance and re-test (Module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Grievance and appeal responses (Module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G4 continued-operation review</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r>
        <w:trPr>
          <w:cantSplit w:val="true"/>
        </w:trPr>
        <w:tc>
          <w:tcPr>
            <w:tcW w:w="33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Decommissioning and data return (Modules 4 and 6)</w:t>
            </w:r>
          </w:p>
        </w:tc>
        <w:tc>
          <w:tcPr>
            <w:tcW w:w="126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w:t>
            </w:r>
          </w:p>
        </w:tc>
        <w:tc>
          <w:tcPr>
            <w:tcW w:w="14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w:t>
            </w:r>
          </w:p>
        </w:tc>
        <w:tc>
          <w:tcPr>
            <w:tcW w:w="140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 (deletion certificate)</w:t>
            </w:r>
          </w:p>
        </w:tc>
        <w:tc>
          <w:tcPr>
            <w:tcW w:w="181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w:t>
            </w:r>
          </w:p>
        </w:tc>
      </w:tr>
    </w:tbl>
    <w:p>
      <w:pPr>
        <w:pStyle w:val="Heading2"/>
        <w:pageBreakBefore/>
        <w:rPr/>
      </w:pPr>
      <w:r>
        <w:rPr/>
        <w:t>Artifact 3b: Role definition pack</w:t>
      </w:r>
    </w:p>
    <w:p>
      <w:pPr>
        <w:pStyle w:val="Boxtext"/>
        <w:rPr/>
      </w:pPr>
      <w:r>
        <w:rPr>
          <w:b/>
          <w:bCs/>
        </w:rPr>
        <w:t>Standalone artifact.</w:t>
      </w:r>
      <w:r>
        <w:rPr/>
        <w:t xml:space="preserve"> Open AI Governance and Deployment Framework, Version 1.0. Licence: CC BY 4.0. Four half-page definitions, written to be pasted into an appointment letter or job description. Replace bracketed items. Time budgets are the framework defaults from Module 3.2; adjust and record. Tier note: at Tier 4, the G1 and G3 gate signatures sit with the Operational Lead (Module 3.3); adjust the two definitions accordingly when appointing for a Tier 4 portfolio.</w:t>
      </w:r>
    </w:p>
    <w:p>
      <w:pPr>
        <w:pStyle w:val="Heading3"/>
        <w:rPr/>
      </w:pPr>
      <w:bookmarkStart w:id="12" w:name="system-owner-for-system-name"/>
      <w:r>
        <w:rPr/>
        <w:t>System Owner, for [system name]</w:t>
      </w:r>
    </w:p>
    <w:p>
      <w:pPr>
        <w:pStyle w:val="Normal"/>
        <w:rPr/>
      </w:pPr>
      <w:r>
        <w:rPr>
          <w:b/>
          <w:bCs/>
        </w:rPr>
        <w:t>Purpose.</w:t>
      </w:r>
      <w:r>
        <w:rPr/>
        <w:t xml:space="preserve"> You are accountable for this system’s behaviour in service. You are the person who answers for it, to leadership, to auditors, and to affected people, and you hold the authority that accountability requires. </w:t>
      </w:r>
      <w:r>
        <w:rPr>
          <w:b/>
          <w:bCs/>
        </w:rPr>
        <w:t>Authority.</w:t>
      </w:r>
      <w:r>
        <w:rPr/>
        <w:t xml:space="preserve"> You may halt the system at any time on your own decision. You approve or refuse the procurement gate (G1), the go-live gate (G3, jointly with the Independent Reviewer), and the periodic continued-operation gate (G4). You own incident decisions beyond the Operational Lead’s 48-hour pause authority. </w:t>
      </w:r>
      <w:r>
        <w:rPr>
          <w:b/>
          <w:bCs/>
        </w:rPr>
        <w:t>You sign.</w:t>
      </w:r>
      <w:r>
        <w:rPr/>
        <w:t xml:space="preserve"> The due diligence checklist (G1), the go-live checklist (G3), continued-operation reviews (G4), and the register entry carrying your name. </w:t>
      </w:r>
      <w:r>
        <w:rPr>
          <w:b/>
          <w:bCs/>
        </w:rPr>
        <w:t>You may refuse.</w:t>
      </w:r>
      <w:r>
        <w:rPr/>
        <w:t xml:space="preserve"> Any gate where a claimed item lacks a document. Refusals are recorded, and recorded refusal is a protected act. </w:t>
      </w:r>
      <w:r>
        <w:rPr>
          <w:b/>
          <w:bCs/>
        </w:rPr>
        <w:t>You receive.</w:t>
      </w:r>
      <w:r>
        <w:rPr/>
        <w:t xml:space="preserve"> The monthly monitoring summary, every pause and bypass record, and every incident declaration. </w:t>
      </w:r>
      <w:r>
        <w:rPr>
          <w:b/>
          <w:bCs/>
        </w:rPr>
        <w:t>Time.</w:t>
      </w:r>
      <w:r>
        <w:rPr/>
        <w:t xml:space="preserve"> About 4 hours per month in steady operation for a Tier 2 system; 10 to 15 hours one-time across procurement and go-live. </w:t>
      </w:r>
      <w:r>
        <w:rPr>
          <w:b/>
          <w:bCs/>
        </w:rPr>
        <w:t>Seniority test.</w:t>
      </w:r>
      <w:r>
        <w:rPr/>
        <w:t xml:space="preserve"> If you would need permission to stop this system, the role sits too low. Hand it up.</w:t>
      </w:r>
      <w:bookmarkEnd w:id="12"/>
    </w:p>
    <w:p>
      <w:pPr>
        <w:pStyle w:val="Heading3"/>
        <w:rPr/>
      </w:pPr>
      <w:bookmarkStart w:id="13" w:name="operational-lead-for-system-name"/>
      <w:r>
        <w:rPr/>
        <w:t>Operational Lead, for [system name]</w:t>
      </w:r>
    </w:p>
    <w:p>
      <w:pPr>
        <w:pStyle w:val="Normal"/>
        <w:rPr/>
      </w:pPr>
      <w:r>
        <w:rPr>
          <w:b/>
          <w:bCs/>
        </w:rPr>
        <w:t>Purpose.</w:t>
      </w:r>
      <w:r>
        <w:rPr/>
        <w:t xml:space="preserve"> You run this system day to day and you are the first pair of eyes on everything it does in service. </w:t>
      </w:r>
      <w:r>
        <w:rPr>
          <w:b/>
          <w:bCs/>
        </w:rPr>
        <w:t>Authority.</w:t>
      </w:r>
      <w:r>
        <w:rPr/>
        <w:t xml:space="preserve"> You may pause the system for up to 48 hours on your own decision. You decide pause requests within 4 working hours, with one recorded line of reasoning. You accept or defer vendor updates into the test window (Module 6) and keep the acceptable-use note current. </w:t>
      </w:r>
      <w:r>
        <w:rPr>
          <w:b/>
          <w:bCs/>
        </w:rPr>
        <w:t>You do.</w:t>
      </w:r>
      <w:r>
        <w:rPr/>
        <w:t xml:space="preserve"> The monitoring review and the monthly summary; the override-rate, written-reason, and blind-sample countermeasures (Module 3.5); reviewer training records; the oversight design one-pager (Module 3.4) for the Independent Reviewer’s G3 check; escalation intake. </w:t>
      </w:r>
      <w:r>
        <w:rPr>
          <w:b/>
          <w:bCs/>
        </w:rPr>
        <w:t>You may refuse.</w:t>
      </w:r>
      <w:r>
        <w:rPr/>
        <w:t xml:space="preserve"> To lift a pause you imposed until the System Owner has reviewed it. </w:t>
      </w:r>
      <w:r>
        <w:rPr>
          <w:b/>
          <w:bCs/>
        </w:rPr>
        <w:t>Time.</w:t>
      </w:r>
      <w:r>
        <w:rPr/>
        <w:t xml:space="preserve"> About 8 hours per month in steady operation for a Tier 2 system; 20 to 30 hours one-time through validation and rollout.</w:t>
      </w:r>
      <w:bookmarkEnd w:id="13"/>
    </w:p>
    <w:p>
      <w:pPr>
        <w:pStyle w:val="Heading3"/>
        <w:rPr/>
      </w:pPr>
      <w:bookmarkStart w:id="14" w:name="data-steward-for-system-name"/>
      <w:r>
        <w:rPr/>
        <w:t>Data Steward, for [system name]</w:t>
      </w:r>
    </w:p>
    <w:p>
      <w:pPr>
        <w:pStyle w:val="Normal"/>
        <w:rPr/>
      </w:pPr>
      <w:r>
        <w:rPr>
          <w:b/>
          <w:bCs/>
        </w:rPr>
        <w:t>Purpose.</w:t>
      </w:r>
      <w:r>
        <w:rPr/>
        <w:t xml:space="preserve"> You control what data this system receives, produces, and sends onward, and nothing about that changes without you. </w:t>
      </w:r>
      <w:r>
        <w:rPr>
          <w:b/>
          <w:bCs/>
        </w:rPr>
        <w:t>Authority.</w:t>
      </w:r>
      <w:r>
        <w:rPr/>
        <w:t xml:space="preserve"> You approve or refuse the pre-deployment data checklist (Module 5), and any subsequent change to data sources, fields, destinations, or storage locations. Your refusal blocks G2. </w:t>
      </w:r>
      <w:r>
        <w:rPr>
          <w:b/>
          <w:bCs/>
        </w:rPr>
        <w:t>You sign.</w:t>
      </w:r>
      <w:r>
        <w:rPr/>
        <w:t xml:space="preserve"> The data section of G2; deletion certificates at decommissioning. </w:t>
      </w:r>
      <w:r>
        <w:rPr>
          <w:b/>
          <w:bCs/>
        </w:rPr>
        <w:t>You are the contact for.</w:t>
      </w:r>
      <w:r>
        <w:rPr/>
        <w:t xml:space="preserve"> Data questions from auditors, regulators, affected people exercising data rights (check locally which rights apply), and the vendor. </w:t>
      </w:r>
      <w:r>
        <w:rPr>
          <w:b/>
          <w:bCs/>
        </w:rPr>
        <w:t>Time.</w:t>
      </w:r>
      <w:r>
        <w:rPr/>
        <w:t xml:space="preserve"> About 2 hours per month in steady operation; 8 to 12 hours one-time, mostly the Module 5 checklist.</w:t>
      </w:r>
      <w:bookmarkEnd w:id="14"/>
    </w:p>
    <w:p>
      <w:pPr>
        <w:pStyle w:val="Heading3"/>
        <w:rPr/>
      </w:pPr>
      <w:bookmarkStart w:id="15" w:name="independent-reviewer-for-system-name"/>
      <w:r>
        <w:rPr/>
        <w:t>Independent Reviewer, for [system name]</w:t>
      </w:r>
    </w:p>
    <w:p>
      <w:pPr>
        <w:pStyle w:val="Normal"/>
        <w:rPr/>
      </w:pPr>
      <w:r>
        <w:rPr>
          <w:b/>
          <w:bCs/>
        </w:rPr>
        <w:t>Purpose.</w:t>
      </w:r>
      <w:r>
        <w:rPr/>
        <w:t xml:space="preserve"> You are the outside check with the right to refuse the signature, at the two gates where enthusiasm and momentum are least reliable: readiness (G2) and go-live (G3). </w:t>
      </w:r>
      <w:r>
        <w:rPr>
          <w:b/>
          <w:bCs/>
        </w:rPr>
        <w:t>Independence.</w:t>
      </w:r>
      <w:r>
        <w:rPr/>
        <w:t xml:space="preserve"> You sit outside the team deploying this system and had no part in proposing or procuring it. If your department and theirs review for each other, the arrangement is recorded in the register. </w:t>
      </w:r>
      <w:r>
        <w:rPr>
          <w:b/>
          <w:bCs/>
        </w:rPr>
        <w:t>Your method, per gate.</w:t>
      </w:r>
      <w:r>
        <w:rPr/>
        <w:t xml:space="preserve"> Take the gate checklist. For every item marked done, ask for the document. Read the validation results against the criteria that were agreed before testing, and check the oversight design one-pager against the four elements in Module 3.4. Where a document is missing or a criterion unmet, refuse the signature and record why. You are not asked to judge the technology; you are asked to confirm the evidence exists. </w:t>
      </w:r>
      <w:r>
        <w:rPr>
          <w:b/>
          <w:bCs/>
        </w:rPr>
        <w:t>You may refuse.</w:t>
      </w:r>
      <w:r>
        <w:rPr/>
        <w:t xml:space="preserve"> The signature. That is the role. </w:t>
      </w:r>
      <w:r>
        <w:rPr>
          <w:b/>
          <w:bCs/>
        </w:rPr>
        <w:t>Time.</w:t>
      </w:r>
      <w:r>
        <w:rPr/>
        <w:t xml:space="preserve"> About 8 hours per gate, twice per system.</w:t>
      </w:r>
      <w:bookmarkEnd w:id="15"/>
    </w:p>
    <w:p>
      <w:pPr>
        <w:pStyle w:val="Heading2"/>
        <w:rPr/>
      </w:pPr>
      <w:bookmarkStart w:id="16" w:name="references-for-this-module"/>
      <w:r>
        <w:rPr/>
        <w:t>References for this module</w:t>
      </w:r>
    </w:p>
    <w:p>
      <w:pPr>
        <w:pStyle w:val="ListParagraph"/>
        <w:numPr>
          <w:ilvl w:val="0"/>
          <w:numId w:val="4"/>
        </w:numPr>
        <w:rPr/>
      </w:pPr>
      <w:r>
        <w:rPr/>
        <w:t>Skitka, L. J., Mosier, K. L., and Burdick, M. “Accountability and automation bias.” International Journal of Human-Computer Studies, volume 52, issue 4 (2000), pages 701 to 717. doi:10.1006/ijhc.1999.0349.</w:t>
      </w:r>
    </w:p>
    <w:p>
      <w:pPr>
        <w:pStyle w:val="ListParagraph"/>
        <w:numPr>
          <w:ilvl w:val="0"/>
          <w:numId w:val="5"/>
        </w:numPr>
        <w:rPr/>
      </w:pPr>
      <w:r>
        <w:rPr/>
        <w:t>Wong, A., et al. “External Validation of a Widely Implemented Proprietary Sepsis Prediction Model in Hospitalized Patients.” JAMA Internal Medicine, volume 181, issue 8 (2021), pages 1065 to 1070. (Full citation in Module 4; cited here for the alert volume of 18 percent of hospitalised patients.)</w:t>
      </w:r>
    </w:p>
    <w:p>
      <w:pPr>
        <w:pStyle w:val="ListParagraph"/>
        <w:numPr>
          <w:ilvl w:val="0"/>
          <w:numId w:val="6"/>
        </w:numPr>
        <w:spacing w:before="0" w:after="60"/>
        <w:rPr/>
      </w:pPr>
      <w:bookmarkStart w:id="17" w:name="Xfa3c50453ae4b13e5ebdcfb249cfac0159e7b75"/>
      <w:bookmarkStart w:id="18" w:name="references-for-this-module"/>
      <w:r>
        <w:rPr/>
        <w:t>Case facts on the Dutch childcare benefits affair as cited in Module 2.</w:t>
      </w:r>
      <w:bookmarkEnd w:id="17"/>
      <w:bookmarkEnd w:id="18"/>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304" w:right="1304" w:gutter="0" w:header="709" w:top="1418" w:footer="709" w:bottom="1418"/>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8</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8</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1"/>
  </w:num>
  <w:num w:numId="5">
    <w:abstractNumId w:val="1"/>
  </w:num>
  <w:num w:numId="6">
    <w:abstractNumId w:val="1"/>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lang w:val="en-GB" w:eastAsia="en-GB" w:bidi="ar-SA"/>
      </w:rPr>
    </w:rPrDefault>
    <w:pPrDefault>
      <w:pPr>
        <w:suppressAutoHyphens w:val="true"/>
      </w:pPr>
    </w:pPrDefault>
  </w:docDefaults>
  <w:style w:type="paragraph" w:styleId="Normal" w:default="1">
    <w:name w:val="Normal"/>
    <w:qFormat/>
    <w:pPr>
      <w:widowControl/>
      <w:bidi w:val="0"/>
      <w:spacing w:lineRule="auto" w:line="259" w:before="0" w:after="100"/>
      <w:jc w:val="left"/>
    </w:pPr>
    <w:rPr>
      <w:rFonts w:ascii="Calibri" w:hAnsi="Calibri" w:eastAsia="Calibri" w:cs="Calibri"/>
      <w:color w:val="1A1A1A"/>
      <w:kern w:val="0"/>
      <w:sz w:val="20"/>
      <w:szCs w:val="20"/>
      <w:lang w:val="en-GB" w:eastAsia="en-GB" w:bidi="ar-SA"/>
    </w:rPr>
  </w:style>
  <w:style w:type="paragraph" w:styleId="Heading1">
    <w:name w:val="Heading 1"/>
    <w:basedOn w:val="Normal"/>
    <w:next w:val="Normal"/>
    <w:uiPriority w:val="9"/>
    <w:qFormat/>
    <w:pPr>
      <w:keepNext w:val="true"/>
      <w:keepLines/>
      <w:spacing w:lineRule="auto" w:line="240" w:before="0" w:after="280"/>
      <w:outlineLvl w:val="0"/>
    </w:pPr>
    <w:rPr>
      <w:b/>
      <w:bCs/>
      <w:color w:val="1F3864"/>
      <w:sz w:val="40"/>
      <w:szCs w:val="40"/>
    </w:rPr>
  </w:style>
  <w:style w:type="paragraph" w:styleId="Heading2">
    <w:name w:val="Heading 2"/>
    <w:basedOn w:val="Normal"/>
    <w:next w:val="Normal"/>
    <w:uiPriority w:val="9"/>
    <w:qFormat/>
    <w:pPr>
      <w:keepNext w:val="true"/>
      <w:keepLines/>
      <w:spacing w:lineRule="auto" w:line="240" w:before="360" w:after="120"/>
      <w:outlineLvl w:val="1"/>
    </w:pPr>
    <w:rPr>
      <w:b/>
      <w:bCs/>
      <w:color w:val="1F3864"/>
      <w:sz w:val="28"/>
      <w:szCs w:val="28"/>
    </w:rPr>
  </w:style>
  <w:style w:type="paragraph" w:styleId="Heading3">
    <w:name w:val="Heading 3"/>
    <w:basedOn w:val="Normal"/>
    <w:next w:val="Normal"/>
    <w:uiPriority w:val="9"/>
    <w:qFormat/>
    <w:pPr>
      <w:keepNext w:val="true"/>
      <w:keepLines/>
      <w:spacing w:lineRule="auto" w:line="240" w:before="280" w:after="100"/>
      <w:outlineLvl w:val="2"/>
    </w:pPr>
    <w:rPr>
      <w:b/>
      <w:bCs/>
      <w:color w:val="1F3864"/>
      <w:sz w:val="24"/>
      <w:szCs w:val="24"/>
    </w:rPr>
  </w:style>
  <w:style w:type="character" w:styleId="DefaultParagraphFont" w:default="1">
    <w:name w:val="Default Paragraph Font"/>
    <w:uiPriority w:val="1"/>
    <w:semiHidden/>
    <w:unhideWhenUsed/>
    <w:qFormat/>
    <w:rPr/>
  </w:style>
  <w:style w:type="paragraph" w:styleId="ListParagraph">
    <w:name w:val="List Paragraph"/>
    <w:basedOn w:val="Normal"/>
    <w:uiPriority w:val="34"/>
    <w:qFormat/>
    <w:pPr>
      <w:spacing w:before="0" w:after="60"/>
      <w:ind w:left="720"/>
    </w:pPr>
    <w:rPr/>
  </w:style>
  <w:style w:type="paragraph" w:styleId="Boxtext" w:customStyle="1">
    <w:name w:val="Box text"/>
    <w:basedOn w:val="Normal"/>
    <w:qFormat/>
    <w:pPr>
      <w:pBdr>
        <w:left w:val="single" w:sz="18" w:space="8" w:color="1F3864"/>
      </w:pBdr>
      <w:shd w:val="clear" w:color="auto" w:fill="EEF2F7"/>
      <w:spacing w:before="60" w:after="60"/>
      <w:ind w:left="227" w:right="113"/>
    </w:pPr>
    <w:rPr/>
  </w:style>
  <w:style w:type="paragraph" w:styleId="Tabletext" w:customStyle="1">
    <w:name w:val="Table text"/>
    <w:basedOn w:val="Normal"/>
    <w:qFormat/>
    <w:pPr>
      <w:spacing w:lineRule="auto" w:line="240" w:before="20" w:after="20"/>
    </w:pPr>
    <w:rPr>
      <w:sz w:val="18"/>
      <w:szCs w:val="18"/>
    </w:rPr>
  </w:style>
  <w:style w:type="paragraph" w:styleId="Tableheader" w:customStyle="1">
    <w:name w:val="Table header"/>
    <w:basedOn w:val="Normal"/>
    <w:qFormat/>
    <w:pPr>
      <w:keepNext w:val="true"/>
      <w:spacing w:lineRule="auto" w:line="240" w:before="20" w:after="20"/>
    </w:pPr>
    <w:rPr>
      <w:b/>
      <w:bCs/>
      <w:sz w:val="18"/>
      <w:szCs w:val="18"/>
    </w:rPr>
  </w:style>
  <w:style w:type="paragraph" w:styleId="Header">
    <w:name w:val="Header"/>
    <w:basedOn w:val="Normal"/>
    <w:uiPriority w:val="99"/>
    <w:unhideWhenUsed/>
    <w:qFormat/>
    <w:pPr>
      <w:tabs>
        <w:tab w:val="clear" w:pos="720"/>
        <w:tab w:val="right" w:pos="9298" w:leader="none"/>
      </w:tabs>
      <w:spacing w:lineRule="auto" w:line="240" w:before="0" w:after="0"/>
    </w:pPr>
    <w:rPr>
      <w:color w:val="595959"/>
      <w:sz w:val="16"/>
      <w:szCs w:val="16"/>
    </w:rPr>
  </w:style>
  <w:style w:type="paragraph" w:styleId="Footer">
    <w:name w:val="Footer"/>
    <w:basedOn w:val="Normal"/>
    <w:uiPriority w:val="99"/>
    <w:unhideWhenUsed/>
    <w:qFormat/>
    <w:pPr>
      <w:spacing w:lineRule="auto" w:line="240" w:before="0" w:after="0"/>
      <w:jc w:val="center"/>
    </w:pPr>
    <w:rPr>
      <w:color w:val="595959"/>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FrameworkTable">
    <w:name w:val="Framework table"/>
    <w:basedOn w:val="TableNormal"/>
    <w:uiPriority w:val="59"/>
    <w:pPr>
      <w:spacing w:after="0" w:line="240" w:lineRule="auto"/>
    </w:pPr>
    <w:tblP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40" w:type="dxa"/>
        <w:left w:w="85" w:type="dxa"/>
        <w:bottom w:w="40" w:type="dxa"/>
        <w:right w:w="85"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8</Pages>
  <Words>3991</Words>
  <Characters>20402</Characters>
  <CharactersWithSpaces>24162</CharactersWithSpaces>
  <Paragraphs>226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2026-09-29T14:49:27Z</dcterms:created>
  <dc:creator>Yellow Sapphire Technologies Inc.</dc:creator>
  <dc:description>Version 1.0, 1 October 2026. Published by Yellow Sapphire Technologies Inc. under CC BY 4.0. doi:10.5281/zenodo.22986774</dc:description>
  <cp:keywords>AI governance, AI deployment, procurement, risk tiering, human oversight, data protection, monitoring</cp:keywords>
  <dc:language>en-GB</dc:language>
  <cp:lastModifiedBy>Yellow Sapphire Technologies Inc.</cp:lastModifiedBy>
  <dcterms:modified xsi:type="dcterms:W3CDTF">2026-09-29T14:49:27Z</dcterms:modified>
  <cp:revision>1</cp:revision>
  <dc:subject>An operating manual for institutions that buy, deploy, and run AI systems</dc:subject>
  <dc:title>Open AI Governance and Deployment Framework, Version 1.0. Module 3: Governance roles and human oversight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I">
    <vt:lpwstr>10.5281/zenodo.22986774</vt:lpwstr>
  </property>
  <property fmtid="{D5CDD505-2E9C-101B-9397-08002B2CF9AE}" pid="3" name="Language">
    <vt:lpwstr>en-GB</vt:lpwstr>
  </property>
  <property fmtid="{D5CDD505-2E9C-101B-9397-08002B2CF9AE}" pid="4" name="Licence">
    <vt:lpwstr>CC BY 4.0</vt:lpwstr>
  </property>
  <property fmtid="{D5CDD505-2E9C-101B-9397-08002B2CF9AE}" pid="5" name="Publication date">
    <vt:lpwstr>2026-10-01</vt:lpwstr>
  </property>
  <property fmtid="{D5CDD505-2E9C-101B-9397-08002B2CF9AE}" pid="6" name="Publisher">
    <vt:lpwstr>Yellow Sapphire Technologies Inc.</vt:lpwstr>
  </property>
  <property fmtid="{D5CDD505-2E9C-101B-9397-08002B2CF9AE}" pid="7" name="Version">
    <vt:lpwstr>1.0</vt:lpwstr>
  </property>
</Properties>
</file>