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contract-clause-library-from-module-4"/>
      <w:r>
        <w:rPr/>
        <w:t>7.4 Contract clause library (from Module 4)</w:t>
      </w:r>
    </w:p>
    <w:p>
      <w:pPr>
        <w:pStyle w:val="Boxtext"/>
        <w:rPr/>
      </w:pPr>
      <w:r>
        <w:rPr>
          <w:b/>
          <w:bCs/>
        </w:rPr>
        <w:t>Standalone artifact.</w:t>
      </w:r>
      <w:r>
        <w:rPr/>
        <w:t xml:space="preserve"> Open AI Governance and Deployment Framework, Version 1.0. Toolkit edition. Licence: CC BY 4.0.</w:t>
      </w:r>
    </w:p>
    <w:p>
      <w:pPr>
        <w:pStyle w:val="Boxtext"/>
        <w:rPr/>
      </w:pPr>
      <w:r>
        <w:rPr>
          <w:b/>
          <w:bCs/>
        </w:rPr>
        <w:t>Read this before using any clause.</w:t>
      </w:r>
      <w:r>
        <w:rPr/>
        <w:t xml:space="preserve"> These clauses are drafting guidance written in plain language. They are not legal advice, and contract law differs by country. A clause that works in one jurisdiction may need different words, or may be unenforceable, in another. Before signature, have a lawyer qualified in your jurisdiction adapt and review the final text. Bring them this library and the vendor’s draft together; the comparison will focus their work and reduce their fee. In these clauses, “the Institution” is your organisation, “the Vendor” is the seller, and “the System” is the AI system being purchased. Bracketed items in [square brackets] are numbers or lists you must fill in; a clause with an empty bracket is not finished. Each clause carries a marker: </w:t>
      </w:r>
      <w:r>
        <w:rPr>
          <w:b/>
          <w:bCs/>
        </w:rPr>
        <w:t>(M)</w:t>
      </w:r>
      <w:r>
        <w:rPr/>
        <w:t xml:space="preserve"> mandatory, where walking away beats signing without them for a Tier 2 system; </w:t>
      </w:r>
      <w:r>
        <w:rPr>
          <w:b/>
          <w:bCs/>
        </w:rPr>
        <w:t>(R)</w:t>
      </w:r>
      <w:r>
        <w:rPr/>
        <w:t xml:space="preserve"> recommended, concede only knowingly and in writing.</w:t>
      </w:r>
    </w:p>
    <w:p>
      <w:pPr>
        <w:pStyle w:val="Normal"/>
        <w:rPr/>
      </w:pPr>
      <w:r>
        <w:rPr>
          <w:b/>
          <w:bCs/>
        </w:rPr>
        <w:t>Clause 1: Documentation as warranty (M)</w:t>
      </w:r>
      <w:r>
        <w:rPr/>
        <w:t xml:space="preserve"> The documents listed in Schedule [x] (including the system description, the limitations statement, the performance evidence, and the Vendor’s written tender and interview answers) form part of this contract. The Vendor warrants that they are accurate and complete in all material respects. A material inaccuracy in any of them is a breach of this contract. </w:t>
      </w:r>
      <w:r>
        <w:rPr>
          <w:i/>
          <w:iCs/>
        </w:rPr>
        <w:t>What this protects you from:</w:t>
      </w:r>
      <w:r>
        <w:rPr/>
        <w:t xml:space="preserve"> the sales claims evaporating at the moment you need them; an “entire agreement” clause quietly deleting everything you were told before signing.</w:t>
      </w:r>
    </w:p>
    <w:p>
      <w:pPr>
        <w:pStyle w:val="Normal"/>
        <w:rPr/>
      </w:pPr>
      <w:r>
        <w:rPr>
          <w:b/>
          <w:bCs/>
        </w:rPr>
        <w:t>Clause 2: Acceptance testing (M)</w:t>
      </w:r>
      <w:r>
        <w:rPr/>
        <w:t xml:space="preserve"> The System will not enter live use, and the payment milestone in Schedule [x] will not fall due, until the Institution has tested the System on its own data against the acceptance criteria in Schedule [x] and the System has met them. The Vendor will provide the cooperation, configuration, and technical support needed to run the test. If the System fails, the Institution may require remediation and a retest, renegotiate, or terminate under Clause 11 with a refund of amounts paid for the System. The test will begin within [x] days of signature and complete within [x] days; if the Vendor’s cooperation is not provided in time to meet those dates, the milestone does not fall due and the Institution may terminate under Clause 11. Acceptance or rejection is given in writing by the Institution’s System Owner. Where fees are paid by subscription rather than milestones, the first [x] months’ fees are refundable in full if the System fails acceptance. </w:t>
      </w:r>
      <w:r>
        <w:rPr>
          <w:i/>
          <w:iCs/>
        </w:rPr>
        <w:t>What this protects you from:</w:t>
      </w:r>
      <w:r>
        <w:rPr/>
        <w:t xml:space="preserve"> discovering, as the buyers in section 4.1 did, that claimed performance and delivered performance are different systems.</w:t>
      </w:r>
    </w:p>
    <w:p>
      <w:pPr>
        <w:pStyle w:val="Normal"/>
        <w:rPr/>
      </w:pPr>
      <w:r>
        <w:rPr>
          <w:b/>
          <w:bCs/>
        </w:rPr>
        <w:t>Clause 3: Ongoing performance warranty (R)</w:t>
      </w:r>
      <w:r>
        <w:rPr/>
        <w:t xml:space="preserve"> The Vendor warrants that, in live use, the System will perform within the ranges in Schedule [x], which states each metric by name (for example: accuracy, error rate by subgroup, alert or exception rate, response time), each with its measurement method. If measured performance falls outside the warranted range and is not restored within [x] days of notice, the Institution may terminate under Clause 11. </w:t>
      </w:r>
      <w:r>
        <w:rPr>
          <w:i/>
          <w:iCs/>
        </w:rPr>
        <w:t>What this protects you from:</w:t>
      </w:r>
      <w:r>
        <w:rPr/>
        <w:t xml:space="preserve"> the system that passes on day one and degrades quietly in service, with no lever attached to the decline.</w:t>
      </w:r>
    </w:p>
    <w:p>
      <w:pPr>
        <w:pStyle w:val="Normal"/>
        <w:rPr/>
      </w:pPr>
      <w:r>
        <w:rPr>
          <w:b/>
          <w:bCs/>
        </w:rPr>
        <w:t>Clause 4: Audit rights (M)</w:t>
      </w:r>
      <w:r>
        <w:rPr/>
        <w:t xml:space="preserve"> The Institution, or an independent auditor it appoints under confidentiality obligations, may audit the System’s logs, the documentation, and the Vendor’s compliance with this contract’s data and security commitments: at least once per year, and additionally after any incident or suspected breach. The Vendor will provide access and cooperation, with audit logs and compliance documentation made available within [72] hours of a written request. The Institution gives [x] days’ notice for routine audits and none for incident audits; the auditor is bound in writing to confidentiality; audits are conducted so as not to disrupt the service; and each party bears its own costs, except that audits beyond the first in any year are at the Institution’s cost. </w:t>
      </w:r>
      <w:r>
        <w:rPr>
          <w:i/>
          <w:iCs/>
        </w:rPr>
        <w:t>What this protects you from:</w:t>
      </w:r>
      <w:r>
        <w:rPr/>
        <w:t xml:space="preserve"> commitments that are true only in the sales meeting.</w:t>
      </w:r>
    </w:p>
    <w:p>
      <w:pPr>
        <w:pStyle w:val="Normal"/>
        <w:rPr/>
      </w:pPr>
      <w:r>
        <w:rPr>
          <w:b/>
          <w:bCs/>
        </w:rPr>
        <w:t>Clause 5: Update and change control (M)</w:t>
      </w:r>
      <w:r>
        <w:rPr/>
        <w:t xml:space="preserve"> The Vendor will give the Institution at least [30] days’ written notice of any change to the model or to System behaviour, with a written description of what is changing and why. The Institution may test the change before it is applied to its live environment and may decline it, remaining on its current version, for up to [x] months. Emergency security fixes may be applied immediately, with notice and description to follow within [x] days. If an applied change degrades the System against Schedule [x], the Vendor will restore the Institution’s prior version (rollback) within [x] days of notice, at no charge. </w:t>
      </w:r>
      <w:r>
        <w:rPr>
          <w:i/>
          <w:iCs/>
        </w:rPr>
        <w:t>What this protects you from:</w:t>
      </w:r>
      <w:r>
        <w:rPr/>
        <w:t xml:space="preserve"> silent updates: the validated system being replaced, unseen, by a system nobody validated.</w:t>
      </w:r>
    </w:p>
    <w:p>
      <w:pPr>
        <w:pStyle w:val="Normal"/>
        <w:rPr/>
      </w:pPr>
      <w:r>
        <w:rPr>
          <w:b/>
          <w:bCs/>
        </w:rPr>
        <w:t>Clause 6: Data ownership and permitted use (M)</w:t>
      </w:r>
      <w:r>
        <w:rPr/>
        <w:t xml:space="preserve"> All data the Institution or its users provide to the System, and all outputs generated from it, remain the property of the Institution. The Vendor will use this data only to provide the contracted service. The Vendor will not use it to train, improve, or develop any model or product, and will not sell, share, or derive products from it, in original, aggregated, or anonymised form, without a separate written agreement signed by the Institution. </w:t>
      </w:r>
      <w:r>
        <w:rPr>
          <w:i/>
          <w:iCs/>
        </w:rPr>
        <w:t>What this protects you from:</w:t>
      </w:r>
      <w:r>
        <w:rPr/>
        <w:t xml:space="preserve"> your institution’s records, and your users’ inputs, becoming someone else’s asset by default. </w:t>
      </w:r>
      <w:r>
        <w:rPr>
          <w:i/>
          <w:iCs/>
        </w:rPr>
        <w:t>Check locally:</w:t>
      </w:r>
      <w:r>
        <w:rPr/>
        <w:t xml:space="preserve"> who can own AI-generated output, and what rights exist in it, varies by jurisdiction; have counsel adapt the ownership words to your law. The clause’s enforceable core is the restriction on the Vendor’s use, which does not depend on ownership doctrine.</w:t>
      </w:r>
    </w:p>
    <w:p>
      <w:pPr>
        <w:pStyle w:val="Normal"/>
        <w:rPr/>
      </w:pPr>
      <w:r>
        <w:rPr>
          <w:b/>
          <w:bCs/>
        </w:rPr>
        <w:t>Clause 7: Data location and subcontractors (M for Tier 2)</w:t>
      </w:r>
      <w:r>
        <w:rPr/>
        <w:t xml:space="preserve"> The Institution’s data will be stored, processed, and backed up only in the countries listed in Schedule [x], and accessed only by the Vendor personnel and the subcontractors listed in Schedule [x]. Changes to either list require [x] days’ advance written notice and, for the countries list and (for Tier 2 systems) the subcontractor list, the Institution’s written consent. The Vendor will impose the obligations of this contract on every subcontractor and remains fully responsible for their performance. </w:t>
      </w:r>
      <w:r>
        <w:rPr>
          <w:i/>
          <w:iCs/>
        </w:rPr>
        <w:t>What this protects you from:</w:t>
      </w:r>
      <w:r>
        <w:rPr/>
        <w:t xml:space="preserve"> your data migrating to jurisdictions, and into hands, you never evaluated; promises that stop at the vendor’s front door.</w:t>
      </w:r>
    </w:p>
    <w:p>
      <w:pPr>
        <w:pStyle w:val="Normal"/>
        <w:rPr/>
      </w:pPr>
      <w:r>
        <w:rPr>
          <w:b/>
          <w:bCs/>
        </w:rPr>
        <w:t>Clause 8: Security and breach notification (M)</w:t>
      </w:r>
      <w:r>
        <w:rPr/>
        <w:t xml:space="preserve"> The Vendor will maintain the security controls in Schedule [x] throughout the contract. The Vendor will notify the Institution of any security breach affecting the Institution’s data within [x] hours of discovery, with a written account of scope, cause, and remediation to follow within [x] days. </w:t>
      </w:r>
      <w:r>
        <w:rPr>
          <w:i/>
          <w:iCs/>
        </w:rPr>
        <w:t>What this protects you from:</w:t>
      </w:r>
      <w:r>
        <w:rPr/>
        <w:t xml:space="preserve"> learning about a breach after your own legal notification deadlines have already expired. Set the hours after checking your local breach notification law.</w:t>
      </w:r>
    </w:p>
    <w:p>
      <w:pPr>
        <w:pStyle w:val="Normal"/>
        <w:rPr/>
      </w:pPr>
      <w:r>
        <w:rPr>
          <w:b/>
          <w:bCs/>
        </w:rPr>
        <w:t>Clause 9: Product incident notification (R)</w:t>
      </w:r>
      <w:r>
        <w:rPr/>
        <w:t xml:space="preserve"> If the Vendor becomes aware of a material defect, error, or safety problem in the System or in the same product deployed elsewhere, it will notify the Institution within [x] days, with its assessment of relevance to the Institution’s deployment. </w:t>
      </w:r>
      <w:r>
        <w:rPr>
          <w:i/>
          <w:iCs/>
        </w:rPr>
        <w:t>What this protects you from:</w:t>
      </w:r>
      <w:r>
        <w:rPr/>
        <w:t xml:space="preserve"> being the last customer to learn what the vendor already knows.</w:t>
      </w:r>
    </w:p>
    <w:p>
      <w:pPr>
        <w:pStyle w:val="Normal"/>
        <w:rPr/>
      </w:pPr>
      <w:r>
        <w:rPr>
          <w:b/>
          <w:bCs/>
        </w:rPr>
        <w:t>Clause 10: Audit logging (M for Tier 2)</w:t>
      </w:r>
      <w:r>
        <w:rPr/>
        <w:t xml:space="preserve"> The System will log, at minimum: each input received, each output produced, the date and time, the model version, and the identity of the requesting user or process. Logs will be retained for [x] months, remain accessible to the Institution throughout, and be exportable by the Institution in the documented format in Schedule [x] at no additional charge. Logs will be protected against alteration, and any gap or edit in the log record is itself notifiable under Clause 8. </w:t>
      </w:r>
      <w:r>
        <w:rPr>
          <w:i/>
          <w:iCs/>
        </w:rPr>
        <w:t>What this protects you from:</w:t>
      </w:r>
      <w:r>
        <w:rPr/>
        <w:t xml:space="preserve"> being unable to answer an affected person, an auditor, or your own incident investigation, because the record of your system’s decisions belongs to someone else.</w:t>
      </w:r>
    </w:p>
    <w:p>
      <w:pPr>
        <w:pStyle w:val="Normal"/>
        <w:rPr/>
      </w:pPr>
      <w:r>
        <w:rPr>
          <w:b/>
          <w:bCs/>
        </w:rPr>
        <w:t>Clause 11: Termination triggers (R)</w:t>
      </w:r>
      <w:r>
        <w:rPr/>
        <w:t xml:space="preserve"> In addition to any other rights, the Institution may terminate this contract if: the System fails acceptance testing under Clause 2; the System fails the performance warranty under Clause 3; the Vendor applies a change in breach of Clause 5; the Vendor refuses or obstructs an audit under Clause 4; the Vendor materially breaches Clauses 6, 7, or 8; or the Vendor announces withdrawal or end of support of the System or of the model version relied on. Termination under this clause entitles the Institution to a refund of fees paid for undelivered or unusable periods. </w:t>
      </w:r>
      <w:r>
        <w:rPr>
          <w:i/>
          <w:iCs/>
        </w:rPr>
        <w:t>What this protects you from:</w:t>
      </w:r>
      <w:r>
        <w:rPr/>
        <w:t xml:space="preserve"> a contract where every exit requires proving “material breach” from a standing start, in a dispute, at your expense.</w:t>
      </w:r>
    </w:p>
    <w:p>
      <w:pPr>
        <w:pStyle w:val="Normal"/>
        <w:rPr/>
      </w:pPr>
      <w:r>
        <w:rPr>
          <w:b/>
          <w:bCs/>
        </w:rPr>
        <w:t>Clause 12: Exit and portability (M)</w:t>
      </w:r>
      <w:r>
        <w:rPr/>
        <w:t xml:space="preserve"> On termination or expiry for any reason, the Vendor will: (a) export and deliver to the Institution all Institution data, configurations, and audit logs, in the open, documented formats in Schedule [x], within [x] days, for the fixed fee in Schedule [x]; (b) provide transition assistance for [x] months at the rates in Schedule [x]; and (c) then permanently delete all Institution data from its systems and its subcontractors’ systems and certify the deletion in writing. The obligations in this clause survive termination and apply even while any dispute between the parties is unresolved. The export format will be validated during acceptance testing. Where the System is critical to continuing operations, the parties will record in Schedule [x] an escrow or continuity arrangement covering Vendor insolvency or withdrawal of the product. </w:t>
      </w:r>
      <w:r>
        <w:rPr>
          <w:i/>
          <w:iCs/>
        </w:rPr>
        <w:t>What this protects you from:</w:t>
      </w:r>
      <w:r>
        <w:rPr/>
        <w:t xml:space="preserve"> lock-in, which is the quiet tax on every renewal; and a vendor holding your data hostage during a dispute.</w:t>
      </w:r>
    </w:p>
    <w:p>
      <w:pPr>
        <w:pStyle w:val="Normal"/>
        <w:rPr/>
      </w:pPr>
      <w:r>
        <w:rPr>
          <w:b/>
          <w:bCs/>
        </w:rPr>
        <w:t>Clause 13: Intellectual property indemnity (M for generative systems)</w:t>
      </w:r>
      <w:r>
        <w:rPr/>
        <w:t xml:space="preserve"> The Vendor will defend and indemnify the Institution against third-party claims that the System, or output generated by the System when used as documented, infringes intellectual property rights, and will at its own cost secure the Institution’s right to continue use, modify the System to be non-infringing, or refund and assist exit under Clause 12. </w:t>
      </w:r>
      <w:r>
        <w:rPr>
          <w:i/>
          <w:iCs/>
        </w:rPr>
        <w:t>What this protects you from:</w:t>
      </w:r>
      <w:r>
        <w:rPr/>
        <w:t xml:space="preserve"> your institution answering for what the vendor’s training data contained.</w:t>
      </w:r>
    </w:p>
    <w:p>
      <w:pPr>
        <w:pStyle w:val="Normal"/>
        <w:rPr/>
      </w:pPr>
      <w:r>
        <w:rPr>
          <w:b/>
          <w:bCs/>
        </w:rPr>
        <w:t>Clause 14: Price protection and product continuity (R)</w:t>
      </w:r>
      <w:r>
        <w:rPr/>
        <w:t xml:space="preserve"> The Vendor’s charges for renewal terms will not increase by more than [x] percent per year, or by more than [named index], whichever is lower. The Vendor will give at least [x] months’ written notice before withdrawing, discontinuing, or ending support of the System or of the model version relied on, and throughout that notice period exit assistance under Clause 12 remains available at the rates in Schedule [x]. </w:t>
      </w:r>
      <w:r>
        <w:rPr>
          <w:i/>
          <w:iCs/>
        </w:rPr>
        <w:t>What this protects you from:</w:t>
      </w:r>
      <w:r>
        <w:rPr/>
        <w:t xml:space="preserve"> a dependency being repriced once switching has become expensive, and a product disappearing faster than you can leave it.</w:t>
      </w:r>
    </w:p>
    <w:p>
      <w:pPr>
        <w:pStyle w:val="Normal"/>
        <w:widowControl/>
        <w:bidi w:val="0"/>
        <w:spacing w:lineRule="auto" w:line="259" w:before="0" w:after="100"/>
        <w:jc w:val="left"/>
        <w:rPr/>
      </w:pPr>
      <w:r>
        <w:rPr>
          <w:b/>
          <w:bCs/>
        </w:rPr>
        <w:t>Document control.</w:t>
      </w:r>
      <w:r>
        <w:rPr/>
        <w:t xml:space="preserve"> Document version: ____________ Prepared by: ____________ Last updated: ____________ Next review: ____________</w:t>
      </w:r>
      <w:bookmarkEnd w:id="0"/>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1134" w:footer="567"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character" w:styleId="DefaultParagraphFont" w:default="1">
    <w:name w:val="Default Paragraph Font"/>
    <w:uiPriority w:val="1"/>
    <w:semiHidden/>
    <w:unhideWhenUsed/>
    <w:qFormat/>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3</Pages>
  <Words>1817</Words>
  <Characters>9538</Characters>
  <CharactersWithSpaces>11335</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2026-09-29T14:49:34Z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2026-09-29T14:49:34Z</dcterms:modified>
  <cp:revision>1</cp:revision>
  <dc:subject>An operating manual for institutions that buy, deploy, and run AI systems</dc:subject>
  <dc:title>Open AI Governance and Deployment Framework, Version 1.0. 7.4 Contract clause library (from Module 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